
<file path=[Content_Types].xml><?xml version="1.0" encoding="utf-8"?>
<Types xmlns="http://schemas.openxmlformats.org/package/2006/content-types">
  <Default Extension="tiff" ContentType="image/tif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utoSpaceDE w:val="0"/>
        <w:autoSpaceDN w:val="0"/>
        <w:adjustRightInd w:val="0"/>
        <w:spacing w:line="360" w:lineRule="auto"/>
        <w:rPr>
          <w:rFonts w:ascii="Times New Roman" w:hAnsi="Times New Roman" w:cs="Times New Roman"/>
          <w:color w:val="auto"/>
          <w:kern w:val="0"/>
          <w:sz w:val="24"/>
          <w:szCs w:val="24"/>
        </w:rPr>
      </w:pPr>
      <w:r>
        <w:rPr>
          <w:rFonts w:hint="eastAsia" w:ascii="Times New Roman" w:hAnsi="Times New Roman" w:cs="Times New Roman"/>
          <w:color w:val="auto"/>
          <w:kern w:val="0"/>
          <w:sz w:val="24"/>
          <w:szCs w:val="24"/>
        </w:rPr>
        <w:t>Table</w:t>
      </w:r>
      <w:r>
        <w:rPr>
          <w:rFonts w:ascii="Times New Roman" w:hAnsi="Times New Roman" w:cs="Times New Roman"/>
          <w:color w:val="auto"/>
          <w:kern w:val="0"/>
          <w:sz w:val="24"/>
          <w:szCs w:val="24"/>
        </w:rPr>
        <w:t xml:space="preserve"> S1 Series Test of Cluster (STC) analysis for DEGs</w:t>
      </w:r>
    </w:p>
    <w:tbl>
      <w:tblPr>
        <w:tblStyle w:val="4"/>
        <w:tblpPr w:leftFromText="180" w:rightFromText="180" w:vertAnchor="page" w:horzAnchor="page" w:tblpX="1422" w:tblpY="2096"/>
        <w:tblOverlap w:val="never"/>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594"/>
        <w:gridCol w:w="3176"/>
        <w:gridCol w:w="1352"/>
        <w:gridCol w:w="940"/>
        <w:gridCol w:w="1399"/>
        <w:gridCol w:w="118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07" w:hRule="atLeast"/>
        </w:trPr>
        <w:tc>
          <w:tcPr>
            <w:tcW w:w="1594" w:type="dxa"/>
            <w:tcBorders>
              <w:top w:val="single" w:color="000000" w:sz="8" w:space="0"/>
              <w:bottom w:val="single" w:color="000000" w:sz="8" w:space="0"/>
            </w:tcBorders>
          </w:tcPr>
          <w:p>
            <w:pPr>
              <w:pStyle w:val="8"/>
              <w:spacing w:before="68" w:line="240" w:lineRule="auto"/>
              <w:ind w:left="40"/>
              <w:jc w:val="left"/>
              <w:rPr>
                <w:b/>
                <w:color w:val="auto"/>
                <w:sz w:val="24"/>
              </w:rPr>
            </w:pPr>
            <w:r>
              <w:rPr>
                <w:b/>
                <w:color w:val="auto"/>
                <w:spacing w:val="-2"/>
                <w:sz w:val="24"/>
              </w:rPr>
              <w:t>GeneSymbol</w:t>
            </w:r>
          </w:p>
        </w:tc>
        <w:tc>
          <w:tcPr>
            <w:tcW w:w="3176" w:type="dxa"/>
            <w:tcBorders>
              <w:top w:val="single" w:color="000000" w:sz="8" w:space="0"/>
              <w:bottom w:val="single" w:color="000000" w:sz="8" w:space="0"/>
            </w:tcBorders>
          </w:tcPr>
          <w:p>
            <w:pPr>
              <w:pStyle w:val="8"/>
              <w:spacing w:before="68" w:line="240" w:lineRule="auto"/>
              <w:ind w:left="251"/>
              <w:jc w:val="left"/>
              <w:rPr>
                <w:b/>
                <w:color w:val="auto"/>
                <w:sz w:val="24"/>
              </w:rPr>
            </w:pPr>
            <w:r>
              <w:rPr>
                <w:b/>
                <w:color w:val="auto"/>
                <w:spacing w:val="-4"/>
                <w:sz w:val="24"/>
              </w:rPr>
              <w:t>SPOT</w:t>
            </w:r>
          </w:p>
        </w:tc>
        <w:tc>
          <w:tcPr>
            <w:tcW w:w="1352" w:type="dxa"/>
            <w:tcBorders>
              <w:top w:val="single" w:color="000000" w:sz="8" w:space="0"/>
              <w:bottom w:val="single" w:color="000000" w:sz="8" w:space="0"/>
            </w:tcBorders>
          </w:tcPr>
          <w:p>
            <w:pPr>
              <w:pStyle w:val="8"/>
              <w:spacing w:before="68" w:line="240" w:lineRule="auto"/>
              <w:ind w:right="409"/>
              <w:rPr>
                <w:b/>
                <w:color w:val="auto"/>
                <w:sz w:val="24"/>
              </w:rPr>
            </w:pPr>
            <w:r>
              <w:rPr>
                <w:b/>
                <w:color w:val="auto"/>
                <w:spacing w:val="-2"/>
                <w:sz w:val="24"/>
              </w:rPr>
              <w:t>Profile</w:t>
            </w:r>
          </w:p>
        </w:tc>
        <w:tc>
          <w:tcPr>
            <w:tcW w:w="940" w:type="dxa"/>
            <w:tcBorders>
              <w:top w:val="single" w:color="000000" w:sz="8" w:space="0"/>
              <w:bottom w:val="single" w:color="000000" w:sz="8" w:space="0"/>
            </w:tcBorders>
          </w:tcPr>
          <w:p>
            <w:pPr>
              <w:pStyle w:val="8"/>
              <w:spacing w:before="68" w:line="240" w:lineRule="auto"/>
              <w:ind w:right="350"/>
              <w:rPr>
                <w:b/>
                <w:color w:val="auto"/>
                <w:sz w:val="24"/>
              </w:rPr>
            </w:pPr>
            <w:r>
              <w:rPr>
                <w:b/>
                <w:color w:val="auto"/>
                <w:w w:val="99"/>
                <w:sz w:val="24"/>
              </w:rPr>
              <w:t>N</w:t>
            </w:r>
          </w:p>
        </w:tc>
        <w:tc>
          <w:tcPr>
            <w:tcW w:w="1399" w:type="dxa"/>
            <w:tcBorders>
              <w:top w:val="single" w:color="000000" w:sz="8" w:space="0"/>
              <w:bottom w:val="single" w:color="000000" w:sz="8" w:space="0"/>
            </w:tcBorders>
          </w:tcPr>
          <w:p>
            <w:pPr>
              <w:pStyle w:val="8"/>
              <w:spacing w:before="68" w:line="240" w:lineRule="auto"/>
              <w:ind w:right="300"/>
              <w:rPr>
                <w:b/>
                <w:color w:val="auto"/>
                <w:sz w:val="24"/>
              </w:rPr>
            </w:pPr>
            <w:r>
              <w:rPr>
                <w:b/>
                <w:color w:val="auto"/>
                <w:sz w:val="24"/>
              </w:rPr>
              <w:t>T</w:t>
            </w:r>
          </w:p>
        </w:tc>
        <w:tc>
          <w:tcPr>
            <w:tcW w:w="1187" w:type="dxa"/>
            <w:tcBorders>
              <w:top w:val="single" w:color="000000" w:sz="8" w:space="0"/>
              <w:bottom w:val="single" w:color="000000" w:sz="8" w:space="0"/>
            </w:tcBorders>
          </w:tcPr>
          <w:p>
            <w:pPr>
              <w:pStyle w:val="8"/>
              <w:spacing w:before="68" w:line="240" w:lineRule="auto"/>
              <w:ind w:right="37"/>
              <w:rPr>
                <w:b/>
                <w:color w:val="auto"/>
                <w:sz w:val="24"/>
              </w:rPr>
            </w:pPr>
            <w:r>
              <w:rPr>
                <w:b/>
                <w:color w:val="auto"/>
                <w:spacing w:val="-4"/>
                <w:sz w:val="24"/>
              </w:rPr>
              <w:t>PVTT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68" w:hRule="atLeast"/>
        </w:trPr>
        <w:tc>
          <w:tcPr>
            <w:tcW w:w="1594" w:type="dxa"/>
            <w:tcBorders>
              <w:top w:val="single" w:color="000000" w:sz="8" w:space="0"/>
            </w:tcBorders>
          </w:tcPr>
          <w:p>
            <w:pPr>
              <w:pStyle w:val="8"/>
              <w:spacing w:line="248" w:lineRule="exact"/>
              <w:ind w:left="40"/>
              <w:jc w:val="left"/>
              <w:rPr>
                <w:color w:val="auto"/>
                <w:sz w:val="24"/>
              </w:rPr>
            </w:pPr>
            <w:r>
              <w:rPr>
                <w:color w:val="auto"/>
                <w:spacing w:val="-2"/>
                <w:sz w:val="24"/>
              </w:rPr>
              <w:t>COL1A1</w:t>
            </w:r>
          </w:p>
        </w:tc>
        <w:tc>
          <w:tcPr>
            <w:tcW w:w="3176" w:type="dxa"/>
            <w:tcBorders>
              <w:top w:val="single" w:color="000000" w:sz="8" w:space="0"/>
            </w:tcBorders>
          </w:tcPr>
          <w:p>
            <w:pPr>
              <w:pStyle w:val="8"/>
              <w:spacing w:line="248" w:lineRule="exact"/>
              <w:ind w:left="251"/>
              <w:jc w:val="left"/>
              <w:rPr>
                <w:color w:val="auto"/>
                <w:sz w:val="24"/>
              </w:rPr>
            </w:pPr>
            <w:r>
              <w:rPr>
                <w:color w:val="auto"/>
                <w:spacing w:val="-2"/>
                <w:sz w:val="24"/>
              </w:rPr>
              <w:t>ID_20</w:t>
            </w:r>
          </w:p>
        </w:tc>
        <w:tc>
          <w:tcPr>
            <w:tcW w:w="1352" w:type="dxa"/>
            <w:tcBorders>
              <w:top w:val="single" w:color="000000" w:sz="8" w:space="0"/>
            </w:tcBorders>
          </w:tcPr>
          <w:p>
            <w:pPr>
              <w:pStyle w:val="8"/>
              <w:spacing w:line="248" w:lineRule="exact"/>
              <w:ind w:right="410"/>
              <w:rPr>
                <w:color w:val="auto"/>
                <w:sz w:val="24"/>
              </w:rPr>
            </w:pPr>
            <w:r>
              <w:rPr>
                <w:color w:val="auto"/>
                <w:sz w:val="24"/>
              </w:rPr>
              <w:t>4</w:t>
            </w:r>
          </w:p>
        </w:tc>
        <w:tc>
          <w:tcPr>
            <w:tcW w:w="940" w:type="dxa"/>
            <w:tcBorders>
              <w:top w:val="single" w:color="000000" w:sz="8" w:space="0"/>
            </w:tcBorders>
          </w:tcPr>
          <w:p>
            <w:pPr>
              <w:pStyle w:val="8"/>
              <w:spacing w:line="248" w:lineRule="exact"/>
              <w:ind w:right="350"/>
              <w:rPr>
                <w:color w:val="auto"/>
                <w:sz w:val="24"/>
              </w:rPr>
            </w:pPr>
            <w:r>
              <w:rPr>
                <w:color w:val="auto"/>
                <w:sz w:val="24"/>
              </w:rPr>
              <w:t>0</w:t>
            </w:r>
          </w:p>
        </w:tc>
        <w:tc>
          <w:tcPr>
            <w:tcW w:w="1399" w:type="dxa"/>
            <w:tcBorders>
              <w:top w:val="single" w:color="000000" w:sz="8" w:space="0"/>
            </w:tcBorders>
          </w:tcPr>
          <w:p>
            <w:pPr>
              <w:pStyle w:val="8"/>
              <w:spacing w:line="248" w:lineRule="exact"/>
              <w:ind w:right="301"/>
              <w:rPr>
                <w:color w:val="auto"/>
                <w:sz w:val="24"/>
              </w:rPr>
            </w:pPr>
            <w:r>
              <w:rPr>
                <w:color w:val="auto"/>
                <w:spacing w:val="-2"/>
                <w:sz w:val="24"/>
              </w:rPr>
              <w:t>142.09</w:t>
            </w:r>
          </w:p>
        </w:tc>
        <w:tc>
          <w:tcPr>
            <w:tcW w:w="1187" w:type="dxa"/>
            <w:tcBorders>
              <w:top w:val="single" w:color="000000" w:sz="8" w:space="0"/>
            </w:tcBorders>
          </w:tcPr>
          <w:p>
            <w:pPr>
              <w:pStyle w:val="8"/>
              <w:spacing w:line="248" w:lineRule="exact"/>
              <w:ind w:right="36"/>
              <w:rPr>
                <w:color w:val="auto"/>
                <w:sz w:val="24"/>
              </w:rPr>
            </w:pPr>
            <w:r>
              <w:rPr>
                <w:color w:val="auto"/>
                <w:spacing w:val="-2"/>
                <w:sz w:val="24"/>
              </w:rPr>
              <w:t>2,754.76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6" w:hRule="atLeast"/>
        </w:trPr>
        <w:tc>
          <w:tcPr>
            <w:tcW w:w="1594" w:type="dxa"/>
          </w:tcPr>
          <w:p>
            <w:pPr>
              <w:pStyle w:val="8"/>
              <w:ind w:left="40"/>
              <w:jc w:val="left"/>
              <w:rPr>
                <w:color w:val="auto"/>
                <w:sz w:val="24"/>
              </w:rPr>
            </w:pPr>
            <w:r>
              <w:rPr>
                <w:color w:val="auto"/>
                <w:spacing w:val="-2"/>
                <w:sz w:val="24"/>
              </w:rPr>
              <w:t>COL1A2</w:t>
            </w:r>
          </w:p>
        </w:tc>
        <w:tc>
          <w:tcPr>
            <w:tcW w:w="3176" w:type="dxa"/>
          </w:tcPr>
          <w:p>
            <w:pPr>
              <w:pStyle w:val="8"/>
              <w:ind w:left="251"/>
              <w:jc w:val="left"/>
              <w:rPr>
                <w:color w:val="auto"/>
                <w:sz w:val="24"/>
              </w:rPr>
            </w:pPr>
            <w:r>
              <w:rPr>
                <w:color w:val="auto"/>
                <w:spacing w:val="-2"/>
                <w:sz w:val="24"/>
              </w:rPr>
              <w:t>ID_21</w:t>
            </w:r>
          </w:p>
        </w:tc>
        <w:tc>
          <w:tcPr>
            <w:tcW w:w="1352" w:type="dxa"/>
          </w:tcPr>
          <w:p>
            <w:pPr>
              <w:pStyle w:val="8"/>
              <w:ind w:right="410"/>
              <w:rPr>
                <w:color w:val="auto"/>
                <w:sz w:val="24"/>
              </w:rPr>
            </w:pPr>
            <w:r>
              <w:rPr>
                <w:color w:val="auto"/>
                <w:sz w:val="24"/>
              </w:rPr>
              <w:t>4</w:t>
            </w:r>
          </w:p>
        </w:tc>
        <w:tc>
          <w:tcPr>
            <w:tcW w:w="940" w:type="dxa"/>
          </w:tcPr>
          <w:p>
            <w:pPr>
              <w:pStyle w:val="8"/>
              <w:ind w:right="350"/>
              <w:rPr>
                <w:color w:val="auto"/>
                <w:sz w:val="24"/>
              </w:rPr>
            </w:pPr>
            <w:r>
              <w:rPr>
                <w:color w:val="auto"/>
                <w:sz w:val="24"/>
              </w:rPr>
              <w:t>0</w:t>
            </w:r>
          </w:p>
        </w:tc>
        <w:tc>
          <w:tcPr>
            <w:tcW w:w="1399" w:type="dxa"/>
          </w:tcPr>
          <w:p>
            <w:pPr>
              <w:pStyle w:val="8"/>
              <w:ind w:right="299"/>
              <w:rPr>
                <w:color w:val="auto"/>
                <w:sz w:val="24"/>
              </w:rPr>
            </w:pPr>
            <w:r>
              <w:rPr>
                <w:color w:val="auto"/>
                <w:spacing w:val="-4"/>
                <w:sz w:val="24"/>
              </w:rPr>
              <w:t>3.62</w:t>
            </w:r>
          </w:p>
        </w:tc>
        <w:tc>
          <w:tcPr>
            <w:tcW w:w="1187" w:type="dxa"/>
          </w:tcPr>
          <w:p>
            <w:pPr>
              <w:pStyle w:val="8"/>
              <w:ind w:right="36"/>
              <w:rPr>
                <w:color w:val="auto"/>
                <w:sz w:val="24"/>
              </w:rPr>
            </w:pPr>
            <w:r>
              <w:rPr>
                <w:color w:val="auto"/>
                <w:spacing w:val="-2"/>
                <w:sz w:val="24"/>
              </w:rPr>
              <w:t>188.62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5" w:hRule="atLeast"/>
        </w:trPr>
        <w:tc>
          <w:tcPr>
            <w:tcW w:w="1594" w:type="dxa"/>
          </w:tcPr>
          <w:p>
            <w:pPr>
              <w:pStyle w:val="8"/>
              <w:ind w:left="40"/>
              <w:jc w:val="left"/>
              <w:rPr>
                <w:color w:val="auto"/>
                <w:sz w:val="24"/>
              </w:rPr>
            </w:pPr>
            <w:r>
              <w:rPr>
                <w:color w:val="auto"/>
                <w:spacing w:val="-2"/>
                <w:sz w:val="24"/>
              </w:rPr>
              <w:t>COL3A1</w:t>
            </w:r>
          </w:p>
        </w:tc>
        <w:tc>
          <w:tcPr>
            <w:tcW w:w="3176" w:type="dxa"/>
          </w:tcPr>
          <w:p>
            <w:pPr>
              <w:pStyle w:val="8"/>
              <w:ind w:left="251"/>
              <w:jc w:val="left"/>
              <w:rPr>
                <w:color w:val="auto"/>
                <w:sz w:val="24"/>
              </w:rPr>
            </w:pPr>
            <w:r>
              <w:rPr>
                <w:color w:val="auto"/>
                <w:spacing w:val="-2"/>
                <w:sz w:val="24"/>
              </w:rPr>
              <w:t>ID_22</w:t>
            </w:r>
          </w:p>
        </w:tc>
        <w:tc>
          <w:tcPr>
            <w:tcW w:w="1352" w:type="dxa"/>
          </w:tcPr>
          <w:p>
            <w:pPr>
              <w:pStyle w:val="8"/>
              <w:ind w:right="410"/>
              <w:rPr>
                <w:color w:val="auto"/>
                <w:sz w:val="24"/>
              </w:rPr>
            </w:pPr>
            <w:r>
              <w:rPr>
                <w:color w:val="auto"/>
                <w:sz w:val="24"/>
              </w:rPr>
              <w:t>4</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z w:val="24"/>
              </w:rPr>
              <w:t>-</w:t>
            </w:r>
            <w:r>
              <w:rPr>
                <w:color w:val="auto"/>
                <w:spacing w:val="-2"/>
                <w:sz w:val="24"/>
              </w:rPr>
              <w:t>38.66</w:t>
            </w:r>
          </w:p>
        </w:tc>
        <w:tc>
          <w:tcPr>
            <w:tcW w:w="1187" w:type="dxa"/>
          </w:tcPr>
          <w:p>
            <w:pPr>
              <w:pStyle w:val="8"/>
              <w:ind w:right="36"/>
              <w:rPr>
                <w:color w:val="auto"/>
                <w:sz w:val="24"/>
              </w:rPr>
            </w:pPr>
            <w:r>
              <w:rPr>
                <w:color w:val="auto"/>
                <w:spacing w:val="-2"/>
                <w:sz w:val="24"/>
              </w:rPr>
              <w:t>134.78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5" w:hRule="atLeast"/>
        </w:trPr>
        <w:tc>
          <w:tcPr>
            <w:tcW w:w="1594" w:type="dxa"/>
          </w:tcPr>
          <w:p>
            <w:pPr>
              <w:pStyle w:val="8"/>
              <w:ind w:left="40"/>
              <w:jc w:val="left"/>
              <w:rPr>
                <w:color w:val="auto"/>
                <w:sz w:val="24"/>
              </w:rPr>
            </w:pPr>
            <w:r>
              <w:rPr>
                <w:color w:val="auto"/>
                <w:spacing w:val="-2"/>
                <w:sz w:val="24"/>
              </w:rPr>
              <w:t>COL5A2</w:t>
            </w:r>
          </w:p>
        </w:tc>
        <w:tc>
          <w:tcPr>
            <w:tcW w:w="3176" w:type="dxa"/>
          </w:tcPr>
          <w:p>
            <w:pPr>
              <w:pStyle w:val="8"/>
              <w:ind w:left="251"/>
              <w:jc w:val="left"/>
              <w:rPr>
                <w:color w:val="auto"/>
                <w:sz w:val="24"/>
              </w:rPr>
            </w:pPr>
            <w:r>
              <w:rPr>
                <w:color w:val="auto"/>
                <w:spacing w:val="-2"/>
                <w:sz w:val="24"/>
              </w:rPr>
              <w:t>ID_85</w:t>
            </w:r>
          </w:p>
        </w:tc>
        <w:tc>
          <w:tcPr>
            <w:tcW w:w="1352" w:type="dxa"/>
          </w:tcPr>
          <w:p>
            <w:pPr>
              <w:pStyle w:val="8"/>
              <w:ind w:right="410"/>
              <w:rPr>
                <w:color w:val="auto"/>
                <w:sz w:val="24"/>
              </w:rPr>
            </w:pPr>
            <w:r>
              <w:rPr>
                <w:color w:val="auto"/>
                <w:sz w:val="24"/>
              </w:rPr>
              <w:t>7</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pacing w:val="-2"/>
                <w:sz w:val="24"/>
              </w:rPr>
              <w:t>49.19</w:t>
            </w:r>
          </w:p>
        </w:tc>
        <w:tc>
          <w:tcPr>
            <w:tcW w:w="1187" w:type="dxa"/>
          </w:tcPr>
          <w:p>
            <w:pPr>
              <w:pStyle w:val="8"/>
              <w:ind w:right="36"/>
              <w:rPr>
                <w:color w:val="auto"/>
                <w:sz w:val="24"/>
              </w:rPr>
            </w:pPr>
            <w:r>
              <w:rPr>
                <w:color w:val="auto"/>
                <w:spacing w:val="-2"/>
                <w:sz w:val="24"/>
              </w:rPr>
              <w:t>99.38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5" w:hRule="atLeast"/>
        </w:trPr>
        <w:tc>
          <w:tcPr>
            <w:tcW w:w="1594" w:type="dxa"/>
          </w:tcPr>
          <w:p>
            <w:pPr>
              <w:pStyle w:val="8"/>
              <w:ind w:left="40"/>
              <w:jc w:val="left"/>
              <w:rPr>
                <w:color w:val="auto"/>
                <w:sz w:val="24"/>
              </w:rPr>
            </w:pPr>
            <w:r>
              <w:rPr>
                <w:color w:val="auto"/>
                <w:spacing w:val="-2"/>
                <w:sz w:val="24"/>
              </w:rPr>
              <w:t>COL4A3BP</w:t>
            </w:r>
          </w:p>
        </w:tc>
        <w:tc>
          <w:tcPr>
            <w:tcW w:w="3176" w:type="dxa"/>
          </w:tcPr>
          <w:p>
            <w:pPr>
              <w:pStyle w:val="8"/>
              <w:ind w:left="251"/>
              <w:jc w:val="left"/>
              <w:rPr>
                <w:color w:val="auto"/>
                <w:sz w:val="24"/>
              </w:rPr>
            </w:pPr>
            <w:r>
              <w:rPr>
                <w:color w:val="auto"/>
                <w:spacing w:val="-2"/>
                <w:sz w:val="24"/>
              </w:rPr>
              <w:t>ID_1050</w:t>
            </w:r>
          </w:p>
        </w:tc>
        <w:tc>
          <w:tcPr>
            <w:tcW w:w="1352" w:type="dxa"/>
          </w:tcPr>
          <w:p>
            <w:pPr>
              <w:pStyle w:val="8"/>
              <w:ind w:right="410"/>
              <w:rPr>
                <w:color w:val="auto"/>
                <w:sz w:val="24"/>
              </w:rPr>
            </w:pPr>
            <w:r>
              <w:rPr>
                <w:color w:val="auto"/>
                <w:sz w:val="24"/>
              </w:rPr>
              <w:t>7</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pacing w:val="-2"/>
                <w:sz w:val="24"/>
              </w:rPr>
              <w:t>22.06</w:t>
            </w:r>
          </w:p>
        </w:tc>
        <w:tc>
          <w:tcPr>
            <w:tcW w:w="1187" w:type="dxa"/>
          </w:tcPr>
          <w:p>
            <w:pPr>
              <w:pStyle w:val="8"/>
              <w:ind w:right="36"/>
              <w:rPr>
                <w:color w:val="auto"/>
                <w:sz w:val="24"/>
              </w:rPr>
            </w:pPr>
            <w:r>
              <w:rPr>
                <w:color w:val="auto"/>
                <w:spacing w:val="-2"/>
                <w:sz w:val="24"/>
              </w:rPr>
              <w:t>65.97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6" w:hRule="atLeast"/>
        </w:trPr>
        <w:tc>
          <w:tcPr>
            <w:tcW w:w="1594" w:type="dxa"/>
          </w:tcPr>
          <w:p>
            <w:pPr>
              <w:pStyle w:val="8"/>
              <w:ind w:left="40"/>
              <w:jc w:val="left"/>
              <w:rPr>
                <w:color w:val="auto"/>
                <w:sz w:val="24"/>
              </w:rPr>
            </w:pPr>
            <w:r>
              <w:rPr>
                <w:color w:val="auto"/>
                <w:spacing w:val="-2"/>
                <w:sz w:val="24"/>
              </w:rPr>
              <w:t>COL2A1</w:t>
            </w:r>
          </w:p>
        </w:tc>
        <w:tc>
          <w:tcPr>
            <w:tcW w:w="3176" w:type="dxa"/>
          </w:tcPr>
          <w:p>
            <w:pPr>
              <w:pStyle w:val="8"/>
              <w:ind w:left="251"/>
              <w:jc w:val="left"/>
              <w:rPr>
                <w:color w:val="auto"/>
                <w:sz w:val="24"/>
              </w:rPr>
            </w:pPr>
            <w:r>
              <w:rPr>
                <w:color w:val="auto"/>
                <w:spacing w:val="-2"/>
                <w:sz w:val="24"/>
              </w:rPr>
              <w:t>ID_1439;ID_3688</w:t>
            </w:r>
          </w:p>
        </w:tc>
        <w:tc>
          <w:tcPr>
            <w:tcW w:w="1352" w:type="dxa"/>
          </w:tcPr>
          <w:p>
            <w:pPr>
              <w:pStyle w:val="8"/>
              <w:ind w:right="410"/>
              <w:rPr>
                <w:color w:val="auto"/>
                <w:sz w:val="24"/>
              </w:rPr>
            </w:pPr>
            <w:r>
              <w:rPr>
                <w:color w:val="auto"/>
                <w:sz w:val="24"/>
              </w:rPr>
              <w:t>1</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z w:val="24"/>
              </w:rPr>
              <w:t>-</w:t>
            </w:r>
            <w:r>
              <w:rPr>
                <w:color w:val="auto"/>
                <w:spacing w:val="-2"/>
                <w:sz w:val="24"/>
              </w:rPr>
              <w:t>342.59</w:t>
            </w:r>
          </w:p>
        </w:tc>
        <w:tc>
          <w:tcPr>
            <w:tcW w:w="1187" w:type="dxa"/>
          </w:tcPr>
          <w:p>
            <w:pPr>
              <w:pStyle w:val="8"/>
              <w:ind w:right="36"/>
              <w:rPr>
                <w:color w:val="auto"/>
                <w:sz w:val="24"/>
              </w:rPr>
            </w:pPr>
            <w:r>
              <w:rPr>
                <w:color w:val="auto"/>
                <w:sz w:val="24"/>
              </w:rPr>
              <w:t>-</w:t>
            </w:r>
            <w:r>
              <w:rPr>
                <w:color w:val="auto"/>
                <w:spacing w:val="-2"/>
                <w:sz w:val="24"/>
              </w:rPr>
              <w:t>388.64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6" w:hRule="atLeast"/>
        </w:trPr>
        <w:tc>
          <w:tcPr>
            <w:tcW w:w="1594" w:type="dxa"/>
          </w:tcPr>
          <w:p>
            <w:pPr>
              <w:pStyle w:val="8"/>
              <w:ind w:left="40"/>
              <w:jc w:val="left"/>
              <w:rPr>
                <w:color w:val="auto"/>
                <w:sz w:val="24"/>
              </w:rPr>
            </w:pPr>
            <w:r>
              <w:rPr>
                <w:color w:val="auto"/>
                <w:spacing w:val="-2"/>
                <w:sz w:val="24"/>
              </w:rPr>
              <w:t>COL4A1</w:t>
            </w:r>
          </w:p>
        </w:tc>
        <w:tc>
          <w:tcPr>
            <w:tcW w:w="3176" w:type="dxa"/>
          </w:tcPr>
          <w:p>
            <w:pPr>
              <w:pStyle w:val="8"/>
              <w:ind w:left="251"/>
              <w:jc w:val="left"/>
              <w:rPr>
                <w:color w:val="auto"/>
                <w:sz w:val="24"/>
              </w:rPr>
            </w:pPr>
            <w:r>
              <w:rPr>
                <w:color w:val="auto"/>
                <w:spacing w:val="-2"/>
                <w:sz w:val="24"/>
              </w:rPr>
              <w:t>ID_1440</w:t>
            </w:r>
          </w:p>
        </w:tc>
        <w:tc>
          <w:tcPr>
            <w:tcW w:w="1352" w:type="dxa"/>
          </w:tcPr>
          <w:p>
            <w:pPr>
              <w:pStyle w:val="8"/>
              <w:ind w:right="410"/>
              <w:rPr>
                <w:color w:val="auto"/>
                <w:sz w:val="24"/>
              </w:rPr>
            </w:pPr>
            <w:r>
              <w:rPr>
                <w:color w:val="auto"/>
                <w:sz w:val="24"/>
              </w:rPr>
              <w:t>7</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pacing w:val="-2"/>
                <w:sz w:val="24"/>
              </w:rPr>
              <w:t>264.38</w:t>
            </w:r>
          </w:p>
        </w:tc>
        <w:tc>
          <w:tcPr>
            <w:tcW w:w="1187" w:type="dxa"/>
          </w:tcPr>
          <w:p>
            <w:pPr>
              <w:pStyle w:val="8"/>
              <w:ind w:right="36"/>
              <w:rPr>
                <w:color w:val="auto"/>
                <w:sz w:val="24"/>
              </w:rPr>
            </w:pPr>
            <w:r>
              <w:rPr>
                <w:color w:val="auto"/>
                <w:spacing w:val="-2"/>
                <w:sz w:val="24"/>
              </w:rPr>
              <w:t>785.38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5" w:hRule="atLeast"/>
        </w:trPr>
        <w:tc>
          <w:tcPr>
            <w:tcW w:w="1594" w:type="dxa"/>
          </w:tcPr>
          <w:p>
            <w:pPr>
              <w:pStyle w:val="8"/>
              <w:ind w:left="40"/>
              <w:jc w:val="left"/>
              <w:rPr>
                <w:color w:val="auto"/>
                <w:sz w:val="24"/>
              </w:rPr>
            </w:pPr>
            <w:r>
              <w:rPr>
                <w:color w:val="auto"/>
                <w:spacing w:val="-2"/>
                <w:sz w:val="24"/>
              </w:rPr>
              <w:t>COL6A1</w:t>
            </w:r>
          </w:p>
        </w:tc>
        <w:tc>
          <w:tcPr>
            <w:tcW w:w="3176" w:type="dxa"/>
          </w:tcPr>
          <w:p>
            <w:pPr>
              <w:pStyle w:val="8"/>
              <w:ind w:left="251"/>
              <w:jc w:val="left"/>
              <w:rPr>
                <w:color w:val="auto"/>
                <w:sz w:val="24"/>
              </w:rPr>
            </w:pPr>
            <w:r>
              <w:rPr>
                <w:color w:val="auto"/>
                <w:spacing w:val="-2"/>
                <w:sz w:val="24"/>
              </w:rPr>
              <w:t>ID_1441</w:t>
            </w:r>
          </w:p>
        </w:tc>
        <w:tc>
          <w:tcPr>
            <w:tcW w:w="1352" w:type="dxa"/>
          </w:tcPr>
          <w:p>
            <w:pPr>
              <w:pStyle w:val="8"/>
              <w:ind w:right="410"/>
              <w:rPr>
                <w:color w:val="auto"/>
                <w:sz w:val="24"/>
              </w:rPr>
            </w:pPr>
            <w:r>
              <w:rPr>
                <w:color w:val="auto"/>
                <w:sz w:val="24"/>
              </w:rPr>
              <w:t>2</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z w:val="24"/>
              </w:rPr>
              <w:t>-</w:t>
            </w:r>
            <w:r>
              <w:rPr>
                <w:color w:val="auto"/>
                <w:spacing w:val="-2"/>
                <w:sz w:val="24"/>
              </w:rPr>
              <w:t>865.87</w:t>
            </w:r>
          </w:p>
        </w:tc>
        <w:tc>
          <w:tcPr>
            <w:tcW w:w="1187" w:type="dxa"/>
          </w:tcPr>
          <w:p>
            <w:pPr>
              <w:pStyle w:val="8"/>
              <w:ind w:right="36"/>
              <w:rPr>
                <w:color w:val="auto"/>
                <w:sz w:val="24"/>
              </w:rPr>
            </w:pPr>
            <w:r>
              <w:rPr>
                <w:color w:val="auto"/>
                <w:spacing w:val="-2"/>
                <w:sz w:val="24"/>
              </w:rPr>
              <w:t>62.11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5" w:hRule="atLeast"/>
        </w:trPr>
        <w:tc>
          <w:tcPr>
            <w:tcW w:w="1594" w:type="dxa"/>
          </w:tcPr>
          <w:p>
            <w:pPr>
              <w:pStyle w:val="8"/>
              <w:ind w:left="40"/>
              <w:jc w:val="left"/>
              <w:rPr>
                <w:color w:val="auto"/>
                <w:sz w:val="24"/>
              </w:rPr>
            </w:pPr>
            <w:r>
              <w:rPr>
                <w:color w:val="auto"/>
                <w:spacing w:val="-2"/>
                <w:sz w:val="24"/>
              </w:rPr>
              <w:t>COL6A2</w:t>
            </w:r>
          </w:p>
        </w:tc>
        <w:tc>
          <w:tcPr>
            <w:tcW w:w="3176" w:type="dxa"/>
          </w:tcPr>
          <w:p>
            <w:pPr>
              <w:pStyle w:val="8"/>
              <w:ind w:left="251"/>
              <w:jc w:val="left"/>
              <w:rPr>
                <w:color w:val="auto"/>
                <w:sz w:val="24"/>
              </w:rPr>
            </w:pPr>
            <w:r>
              <w:rPr>
                <w:color w:val="auto"/>
                <w:spacing w:val="-2"/>
                <w:sz w:val="24"/>
              </w:rPr>
              <w:t>ID_1442;ID_3781;ID_3782</w:t>
            </w:r>
          </w:p>
        </w:tc>
        <w:tc>
          <w:tcPr>
            <w:tcW w:w="1352" w:type="dxa"/>
          </w:tcPr>
          <w:p>
            <w:pPr>
              <w:pStyle w:val="8"/>
              <w:ind w:right="410"/>
              <w:rPr>
                <w:color w:val="auto"/>
                <w:sz w:val="24"/>
              </w:rPr>
            </w:pPr>
            <w:r>
              <w:rPr>
                <w:color w:val="auto"/>
                <w:sz w:val="24"/>
              </w:rPr>
              <w:t>4</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z w:val="24"/>
              </w:rPr>
              <w:t>-</w:t>
            </w:r>
            <w:r>
              <w:rPr>
                <w:color w:val="auto"/>
                <w:spacing w:val="-2"/>
                <w:sz w:val="24"/>
              </w:rPr>
              <w:t>725.37</w:t>
            </w:r>
          </w:p>
        </w:tc>
        <w:tc>
          <w:tcPr>
            <w:tcW w:w="1187" w:type="dxa"/>
          </w:tcPr>
          <w:p>
            <w:pPr>
              <w:pStyle w:val="8"/>
              <w:ind w:right="36"/>
              <w:rPr>
                <w:color w:val="auto"/>
                <w:sz w:val="24"/>
              </w:rPr>
            </w:pPr>
            <w:r>
              <w:rPr>
                <w:color w:val="auto"/>
                <w:spacing w:val="-2"/>
                <w:sz w:val="24"/>
              </w:rPr>
              <w:t>772.84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5" w:hRule="atLeast"/>
        </w:trPr>
        <w:tc>
          <w:tcPr>
            <w:tcW w:w="1594" w:type="dxa"/>
          </w:tcPr>
          <w:p>
            <w:pPr>
              <w:pStyle w:val="8"/>
              <w:ind w:left="40"/>
              <w:jc w:val="left"/>
              <w:rPr>
                <w:color w:val="auto"/>
                <w:sz w:val="24"/>
              </w:rPr>
            </w:pPr>
            <w:r>
              <w:rPr>
                <w:color w:val="auto"/>
                <w:spacing w:val="-2"/>
                <w:sz w:val="24"/>
              </w:rPr>
              <w:t>COL9A2</w:t>
            </w:r>
          </w:p>
        </w:tc>
        <w:tc>
          <w:tcPr>
            <w:tcW w:w="3176" w:type="dxa"/>
          </w:tcPr>
          <w:p>
            <w:pPr>
              <w:pStyle w:val="8"/>
              <w:ind w:left="251"/>
              <w:jc w:val="left"/>
              <w:rPr>
                <w:color w:val="auto"/>
                <w:sz w:val="24"/>
              </w:rPr>
            </w:pPr>
            <w:r>
              <w:rPr>
                <w:color w:val="auto"/>
                <w:spacing w:val="-2"/>
                <w:sz w:val="24"/>
              </w:rPr>
              <w:t>ID_1443</w:t>
            </w:r>
          </w:p>
        </w:tc>
        <w:tc>
          <w:tcPr>
            <w:tcW w:w="1352" w:type="dxa"/>
          </w:tcPr>
          <w:p>
            <w:pPr>
              <w:pStyle w:val="8"/>
              <w:ind w:right="410"/>
              <w:rPr>
                <w:color w:val="auto"/>
                <w:sz w:val="24"/>
              </w:rPr>
            </w:pPr>
            <w:r>
              <w:rPr>
                <w:color w:val="auto"/>
                <w:sz w:val="24"/>
              </w:rPr>
              <w:t>6</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pacing w:val="-2"/>
                <w:sz w:val="24"/>
              </w:rPr>
              <w:t>442.21</w:t>
            </w:r>
          </w:p>
        </w:tc>
        <w:tc>
          <w:tcPr>
            <w:tcW w:w="1187" w:type="dxa"/>
          </w:tcPr>
          <w:p>
            <w:pPr>
              <w:pStyle w:val="8"/>
              <w:ind w:right="36"/>
              <w:rPr>
                <w:color w:val="auto"/>
                <w:sz w:val="24"/>
              </w:rPr>
            </w:pPr>
            <w:r>
              <w:rPr>
                <w:color w:val="auto"/>
                <w:spacing w:val="-2"/>
                <w:sz w:val="24"/>
              </w:rPr>
              <w:t>351.32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6" w:hRule="atLeast"/>
        </w:trPr>
        <w:tc>
          <w:tcPr>
            <w:tcW w:w="1594" w:type="dxa"/>
          </w:tcPr>
          <w:p>
            <w:pPr>
              <w:pStyle w:val="8"/>
              <w:ind w:left="40"/>
              <w:jc w:val="left"/>
              <w:rPr>
                <w:color w:val="auto"/>
                <w:sz w:val="24"/>
              </w:rPr>
            </w:pPr>
            <w:r>
              <w:rPr>
                <w:color w:val="auto"/>
                <w:spacing w:val="-2"/>
                <w:sz w:val="24"/>
              </w:rPr>
              <w:t>COL9A3</w:t>
            </w:r>
          </w:p>
        </w:tc>
        <w:tc>
          <w:tcPr>
            <w:tcW w:w="3176" w:type="dxa"/>
          </w:tcPr>
          <w:p>
            <w:pPr>
              <w:pStyle w:val="8"/>
              <w:ind w:left="251"/>
              <w:jc w:val="left"/>
              <w:rPr>
                <w:color w:val="auto"/>
                <w:sz w:val="24"/>
              </w:rPr>
            </w:pPr>
            <w:r>
              <w:rPr>
                <w:color w:val="auto"/>
                <w:spacing w:val="-2"/>
                <w:sz w:val="24"/>
              </w:rPr>
              <w:t>ID_1444</w:t>
            </w:r>
          </w:p>
        </w:tc>
        <w:tc>
          <w:tcPr>
            <w:tcW w:w="1352" w:type="dxa"/>
          </w:tcPr>
          <w:p>
            <w:pPr>
              <w:pStyle w:val="8"/>
              <w:ind w:right="410"/>
              <w:rPr>
                <w:color w:val="auto"/>
                <w:sz w:val="24"/>
              </w:rPr>
            </w:pPr>
            <w:r>
              <w:rPr>
                <w:color w:val="auto"/>
                <w:sz w:val="24"/>
              </w:rPr>
              <w:t>1</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z w:val="24"/>
              </w:rPr>
              <w:t>-</w:t>
            </w:r>
            <w:r>
              <w:rPr>
                <w:color w:val="auto"/>
                <w:spacing w:val="-2"/>
                <w:sz w:val="24"/>
              </w:rPr>
              <w:t>446.94</w:t>
            </w:r>
          </w:p>
        </w:tc>
        <w:tc>
          <w:tcPr>
            <w:tcW w:w="1187" w:type="dxa"/>
          </w:tcPr>
          <w:p>
            <w:pPr>
              <w:pStyle w:val="8"/>
              <w:ind w:right="36"/>
              <w:rPr>
                <w:color w:val="auto"/>
                <w:sz w:val="24"/>
              </w:rPr>
            </w:pPr>
            <w:r>
              <w:rPr>
                <w:color w:val="auto"/>
                <w:sz w:val="24"/>
              </w:rPr>
              <w:t>-</w:t>
            </w:r>
            <w:r>
              <w:rPr>
                <w:color w:val="auto"/>
                <w:spacing w:val="-2"/>
                <w:sz w:val="24"/>
              </w:rPr>
              <w:t>494.22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6" w:hRule="atLeast"/>
        </w:trPr>
        <w:tc>
          <w:tcPr>
            <w:tcW w:w="1594" w:type="dxa"/>
          </w:tcPr>
          <w:p>
            <w:pPr>
              <w:pStyle w:val="8"/>
              <w:ind w:left="40"/>
              <w:jc w:val="left"/>
              <w:rPr>
                <w:color w:val="auto"/>
                <w:sz w:val="24"/>
              </w:rPr>
            </w:pPr>
            <w:r>
              <w:rPr>
                <w:color w:val="auto"/>
                <w:spacing w:val="-2"/>
                <w:sz w:val="24"/>
              </w:rPr>
              <w:t>COL15A1</w:t>
            </w:r>
          </w:p>
        </w:tc>
        <w:tc>
          <w:tcPr>
            <w:tcW w:w="3176" w:type="dxa"/>
          </w:tcPr>
          <w:p>
            <w:pPr>
              <w:pStyle w:val="8"/>
              <w:ind w:left="251"/>
              <w:jc w:val="left"/>
              <w:rPr>
                <w:color w:val="auto"/>
                <w:sz w:val="24"/>
              </w:rPr>
            </w:pPr>
            <w:r>
              <w:rPr>
                <w:color w:val="auto"/>
                <w:spacing w:val="-2"/>
                <w:sz w:val="24"/>
              </w:rPr>
              <w:t>ID_1445</w:t>
            </w:r>
          </w:p>
        </w:tc>
        <w:tc>
          <w:tcPr>
            <w:tcW w:w="1352" w:type="dxa"/>
          </w:tcPr>
          <w:p>
            <w:pPr>
              <w:pStyle w:val="8"/>
              <w:ind w:right="410"/>
              <w:rPr>
                <w:color w:val="auto"/>
                <w:sz w:val="24"/>
              </w:rPr>
            </w:pPr>
            <w:r>
              <w:rPr>
                <w:color w:val="auto"/>
                <w:sz w:val="24"/>
              </w:rPr>
              <w:t>7</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pacing w:val="-2"/>
                <w:sz w:val="24"/>
              </w:rPr>
              <w:t>29.19</w:t>
            </w:r>
          </w:p>
        </w:tc>
        <w:tc>
          <w:tcPr>
            <w:tcW w:w="1187" w:type="dxa"/>
          </w:tcPr>
          <w:p>
            <w:pPr>
              <w:pStyle w:val="8"/>
              <w:ind w:right="36"/>
              <w:rPr>
                <w:color w:val="auto"/>
                <w:sz w:val="24"/>
              </w:rPr>
            </w:pPr>
            <w:r>
              <w:rPr>
                <w:color w:val="auto"/>
                <w:spacing w:val="-2"/>
                <w:sz w:val="24"/>
              </w:rPr>
              <w:t>69.78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6" w:hRule="atLeast"/>
        </w:trPr>
        <w:tc>
          <w:tcPr>
            <w:tcW w:w="1594" w:type="dxa"/>
          </w:tcPr>
          <w:p>
            <w:pPr>
              <w:pStyle w:val="8"/>
              <w:ind w:left="40"/>
              <w:jc w:val="left"/>
              <w:rPr>
                <w:color w:val="auto"/>
                <w:sz w:val="24"/>
              </w:rPr>
            </w:pPr>
            <w:r>
              <w:rPr>
                <w:color w:val="auto"/>
                <w:spacing w:val="-2"/>
                <w:sz w:val="24"/>
              </w:rPr>
              <w:t>COL16A1</w:t>
            </w:r>
          </w:p>
        </w:tc>
        <w:tc>
          <w:tcPr>
            <w:tcW w:w="3176" w:type="dxa"/>
          </w:tcPr>
          <w:p>
            <w:pPr>
              <w:pStyle w:val="8"/>
              <w:ind w:left="251"/>
              <w:jc w:val="left"/>
              <w:rPr>
                <w:color w:val="auto"/>
                <w:sz w:val="24"/>
              </w:rPr>
            </w:pPr>
            <w:r>
              <w:rPr>
                <w:color w:val="auto"/>
                <w:spacing w:val="-2"/>
                <w:sz w:val="24"/>
              </w:rPr>
              <w:t>ID_1446</w:t>
            </w:r>
          </w:p>
        </w:tc>
        <w:tc>
          <w:tcPr>
            <w:tcW w:w="1352" w:type="dxa"/>
          </w:tcPr>
          <w:p>
            <w:pPr>
              <w:pStyle w:val="8"/>
              <w:ind w:right="410"/>
              <w:rPr>
                <w:color w:val="auto"/>
                <w:sz w:val="24"/>
              </w:rPr>
            </w:pPr>
            <w:r>
              <w:rPr>
                <w:color w:val="auto"/>
                <w:sz w:val="24"/>
              </w:rPr>
              <w:t>6</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pacing w:val="-2"/>
                <w:sz w:val="24"/>
              </w:rPr>
              <w:t>58.92</w:t>
            </w:r>
          </w:p>
        </w:tc>
        <w:tc>
          <w:tcPr>
            <w:tcW w:w="1187" w:type="dxa"/>
          </w:tcPr>
          <w:p>
            <w:pPr>
              <w:pStyle w:val="8"/>
              <w:ind w:right="36"/>
              <w:rPr>
                <w:color w:val="auto"/>
                <w:sz w:val="24"/>
              </w:rPr>
            </w:pPr>
            <w:r>
              <w:rPr>
                <w:color w:val="auto"/>
                <w:spacing w:val="-2"/>
                <w:sz w:val="24"/>
              </w:rPr>
              <w:t>62.35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6" w:hRule="atLeast"/>
        </w:trPr>
        <w:tc>
          <w:tcPr>
            <w:tcW w:w="1594" w:type="dxa"/>
          </w:tcPr>
          <w:p>
            <w:pPr>
              <w:pStyle w:val="8"/>
              <w:ind w:left="40"/>
              <w:jc w:val="left"/>
              <w:rPr>
                <w:color w:val="auto"/>
                <w:sz w:val="24"/>
              </w:rPr>
            </w:pPr>
            <w:r>
              <w:rPr>
                <w:color w:val="auto"/>
                <w:spacing w:val="-2"/>
                <w:sz w:val="24"/>
              </w:rPr>
              <w:t>COL6A3</w:t>
            </w:r>
          </w:p>
        </w:tc>
        <w:tc>
          <w:tcPr>
            <w:tcW w:w="3176" w:type="dxa"/>
          </w:tcPr>
          <w:p>
            <w:pPr>
              <w:pStyle w:val="8"/>
              <w:ind w:left="251"/>
              <w:jc w:val="left"/>
              <w:rPr>
                <w:color w:val="auto"/>
                <w:sz w:val="24"/>
              </w:rPr>
            </w:pPr>
            <w:r>
              <w:rPr>
                <w:color w:val="auto"/>
                <w:spacing w:val="-2"/>
                <w:sz w:val="24"/>
              </w:rPr>
              <w:t>ID_1914;ID_3774;ID_3775</w:t>
            </w:r>
          </w:p>
        </w:tc>
        <w:tc>
          <w:tcPr>
            <w:tcW w:w="1352" w:type="dxa"/>
          </w:tcPr>
          <w:p>
            <w:pPr>
              <w:pStyle w:val="8"/>
              <w:ind w:right="410"/>
              <w:rPr>
                <w:color w:val="auto"/>
                <w:sz w:val="24"/>
              </w:rPr>
            </w:pPr>
            <w:r>
              <w:rPr>
                <w:color w:val="auto"/>
                <w:sz w:val="24"/>
              </w:rPr>
              <w:t>4</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z w:val="24"/>
              </w:rPr>
              <w:t>-</w:t>
            </w:r>
            <w:r>
              <w:rPr>
                <w:color w:val="auto"/>
                <w:spacing w:val="-2"/>
                <w:sz w:val="24"/>
              </w:rPr>
              <w:t>140.03</w:t>
            </w:r>
          </w:p>
        </w:tc>
        <w:tc>
          <w:tcPr>
            <w:tcW w:w="1187" w:type="dxa"/>
          </w:tcPr>
          <w:p>
            <w:pPr>
              <w:pStyle w:val="8"/>
              <w:ind w:right="36"/>
              <w:rPr>
                <w:color w:val="auto"/>
                <w:sz w:val="24"/>
              </w:rPr>
            </w:pPr>
            <w:r>
              <w:rPr>
                <w:color w:val="auto"/>
                <w:spacing w:val="-2"/>
                <w:sz w:val="24"/>
              </w:rPr>
              <w:t>403.45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6" w:hRule="atLeast"/>
        </w:trPr>
        <w:tc>
          <w:tcPr>
            <w:tcW w:w="1594" w:type="dxa"/>
          </w:tcPr>
          <w:p>
            <w:pPr>
              <w:pStyle w:val="8"/>
              <w:ind w:left="40"/>
              <w:jc w:val="left"/>
              <w:rPr>
                <w:color w:val="auto"/>
                <w:sz w:val="24"/>
              </w:rPr>
            </w:pPr>
            <w:r>
              <w:rPr>
                <w:color w:val="auto"/>
                <w:spacing w:val="-2"/>
                <w:sz w:val="24"/>
              </w:rPr>
              <w:t>COLEC10</w:t>
            </w:r>
          </w:p>
        </w:tc>
        <w:tc>
          <w:tcPr>
            <w:tcW w:w="3176" w:type="dxa"/>
          </w:tcPr>
          <w:p>
            <w:pPr>
              <w:pStyle w:val="8"/>
              <w:ind w:left="251"/>
              <w:jc w:val="left"/>
              <w:rPr>
                <w:color w:val="auto"/>
                <w:sz w:val="24"/>
              </w:rPr>
            </w:pPr>
            <w:r>
              <w:rPr>
                <w:color w:val="auto"/>
                <w:spacing w:val="-2"/>
                <w:sz w:val="24"/>
              </w:rPr>
              <w:t>ID_2295</w:t>
            </w:r>
          </w:p>
        </w:tc>
        <w:tc>
          <w:tcPr>
            <w:tcW w:w="1352" w:type="dxa"/>
          </w:tcPr>
          <w:p>
            <w:pPr>
              <w:pStyle w:val="8"/>
              <w:ind w:right="410"/>
              <w:rPr>
                <w:color w:val="auto"/>
                <w:sz w:val="24"/>
              </w:rPr>
            </w:pPr>
            <w:r>
              <w:rPr>
                <w:color w:val="auto"/>
                <w:sz w:val="24"/>
              </w:rPr>
              <w:t>1</w:t>
            </w:r>
          </w:p>
        </w:tc>
        <w:tc>
          <w:tcPr>
            <w:tcW w:w="940" w:type="dxa"/>
          </w:tcPr>
          <w:p>
            <w:pPr>
              <w:pStyle w:val="8"/>
              <w:ind w:right="350"/>
              <w:rPr>
                <w:color w:val="auto"/>
                <w:sz w:val="24"/>
              </w:rPr>
            </w:pPr>
            <w:r>
              <w:rPr>
                <w:color w:val="auto"/>
                <w:sz w:val="24"/>
              </w:rPr>
              <w:t>0</w:t>
            </w:r>
          </w:p>
        </w:tc>
        <w:tc>
          <w:tcPr>
            <w:tcW w:w="1399" w:type="dxa"/>
          </w:tcPr>
          <w:p>
            <w:pPr>
              <w:pStyle w:val="8"/>
              <w:ind w:right="299"/>
              <w:rPr>
                <w:color w:val="auto"/>
                <w:sz w:val="24"/>
              </w:rPr>
            </w:pPr>
            <w:r>
              <w:rPr>
                <w:color w:val="auto"/>
                <w:sz w:val="24"/>
              </w:rPr>
              <w:t>-</w:t>
            </w:r>
            <w:r>
              <w:rPr>
                <w:color w:val="auto"/>
                <w:spacing w:val="-4"/>
                <w:sz w:val="24"/>
              </w:rPr>
              <w:t>77.5</w:t>
            </w:r>
          </w:p>
        </w:tc>
        <w:tc>
          <w:tcPr>
            <w:tcW w:w="1187" w:type="dxa"/>
          </w:tcPr>
          <w:p>
            <w:pPr>
              <w:pStyle w:val="8"/>
              <w:ind w:right="36"/>
              <w:rPr>
                <w:color w:val="auto"/>
                <w:sz w:val="24"/>
              </w:rPr>
            </w:pPr>
            <w:r>
              <w:rPr>
                <w:color w:val="auto"/>
                <w:sz w:val="24"/>
              </w:rPr>
              <w:t>-</w:t>
            </w:r>
            <w:r>
              <w:rPr>
                <w:color w:val="auto"/>
                <w:spacing w:val="-2"/>
                <w:sz w:val="24"/>
              </w:rPr>
              <w:t>52.83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75" w:hRule="atLeast"/>
        </w:trPr>
        <w:tc>
          <w:tcPr>
            <w:tcW w:w="1594" w:type="dxa"/>
          </w:tcPr>
          <w:p>
            <w:pPr>
              <w:pStyle w:val="8"/>
              <w:ind w:left="40"/>
              <w:jc w:val="left"/>
              <w:rPr>
                <w:color w:val="auto"/>
                <w:sz w:val="24"/>
              </w:rPr>
            </w:pPr>
            <w:r>
              <w:rPr>
                <w:color w:val="auto"/>
                <w:spacing w:val="-2"/>
                <w:sz w:val="24"/>
              </w:rPr>
              <w:t>COL11A2</w:t>
            </w:r>
          </w:p>
        </w:tc>
        <w:tc>
          <w:tcPr>
            <w:tcW w:w="3176" w:type="dxa"/>
          </w:tcPr>
          <w:p>
            <w:pPr>
              <w:pStyle w:val="8"/>
              <w:ind w:left="251"/>
              <w:jc w:val="left"/>
              <w:rPr>
                <w:color w:val="auto"/>
                <w:sz w:val="24"/>
              </w:rPr>
            </w:pPr>
            <w:r>
              <w:rPr>
                <w:color w:val="auto"/>
                <w:spacing w:val="-2"/>
                <w:sz w:val="24"/>
              </w:rPr>
              <w:t>ID_3806</w:t>
            </w:r>
          </w:p>
        </w:tc>
        <w:tc>
          <w:tcPr>
            <w:tcW w:w="1352" w:type="dxa"/>
          </w:tcPr>
          <w:p>
            <w:pPr>
              <w:pStyle w:val="8"/>
              <w:ind w:right="410"/>
              <w:rPr>
                <w:color w:val="auto"/>
                <w:sz w:val="24"/>
              </w:rPr>
            </w:pPr>
            <w:r>
              <w:rPr>
                <w:color w:val="auto"/>
                <w:sz w:val="24"/>
              </w:rPr>
              <w:t>1</w:t>
            </w:r>
          </w:p>
        </w:tc>
        <w:tc>
          <w:tcPr>
            <w:tcW w:w="940" w:type="dxa"/>
          </w:tcPr>
          <w:p>
            <w:pPr>
              <w:pStyle w:val="8"/>
              <w:ind w:right="350"/>
              <w:rPr>
                <w:color w:val="auto"/>
                <w:sz w:val="24"/>
              </w:rPr>
            </w:pPr>
            <w:r>
              <w:rPr>
                <w:color w:val="auto"/>
                <w:sz w:val="24"/>
              </w:rPr>
              <w:t>0</w:t>
            </w:r>
          </w:p>
        </w:tc>
        <w:tc>
          <w:tcPr>
            <w:tcW w:w="1399" w:type="dxa"/>
          </w:tcPr>
          <w:p>
            <w:pPr>
              <w:pStyle w:val="8"/>
              <w:ind w:right="301"/>
              <w:rPr>
                <w:color w:val="auto"/>
                <w:sz w:val="24"/>
              </w:rPr>
            </w:pPr>
            <w:r>
              <w:rPr>
                <w:color w:val="auto"/>
                <w:sz w:val="24"/>
              </w:rPr>
              <w:t>-</w:t>
            </w:r>
            <w:r>
              <w:rPr>
                <w:color w:val="auto"/>
                <w:spacing w:val="-2"/>
                <w:sz w:val="24"/>
              </w:rPr>
              <w:t>68.41</w:t>
            </w:r>
          </w:p>
        </w:tc>
        <w:tc>
          <w:tcPr>
            <w:tcW w:w="1187" w:type="dxa"/>
          </w:tcPr>
          <w:p>
            <w:pPr>
              <w:pStyle w:val="8"/>
              <w:ind w:right="36"/>
              <w:rPr>
                <w:color w:val="auto"/>
                <w:sz w:val="24"/>
              </w:rPr>
            </w:pPr>
            <w:r>
              <w:rPr>
                <w:color w:val="auto"/>
                <w:sz w:val="24"/>
              </w:rPr>
              <w:t>-</w:t>
            </w:r>
            <w:r>
              <w:rPr>
                <w:color w:val="auto"/>
                <w:spacing w:val="-2"/>
                <w:sz w:val="24"/>
              </w:rPr>
              <w:t>86.89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64" w:hRule="atLeast"/>
        </w:trPr>
        <w:tc>
          <w:tcPr>
            <w:tcW w:w="1594" w:type="dxa"/>
            <w:tcBorders>
              <w:bottom w:val="single" w:color="000000" w:sz="8" w:space="0"/>
            </w:tcBorders>
          </w:tcPr>
          <w:p>
            <w:pPr>
              <w:pStyle w:val="8"/>
              <w:spacing w:line="244" w:lineRule="exact"/>
              <w:ind w:left="40"/>
              <w:jc w:val="left"/>
              <w:rPr>
                <w:color w:val="auto"/>
                <w:sz w:val="24"/>
              </w:rPr>
            </w:pPr>
            <w:r>
              <w:rPr>
                <w:color w:val="auto"/>
                <w:spacing w:val="-2"/>
                <w:sz w:val="24"/>
              </w:rPr>
              <w:t>COLEC11</w:t>
            </w:r>
          </w:p>
        </w:tc>
        <w:tc>
          <w:tcPr>
            <w:tcW w:w="3176" w:type="dxa"/>
            <w:tcBorders>
              <w:bottom w:val="single" w:color="000000" w:sz="8" w:space="0"/>
            </w:tcBorders>
          </w:tcPr>
          <w:p>
            <w:pPr>
              <w:pStyle w:val="8"/>
              <w:spacing w:line="244" w:lineRule="exact"/>
              <w:ind w:left="251"/>
              <w:jc w:val="left"/>
              <w:rPr>
                <w:color w:val="auto"/>
                <w:sz w:val="24"/>
              </w:rPr>
            </w:pPr>
            <w:r>
              <w:rPr>
                <w:color w:val="auto"/>
                <w:spacing w:val="-2"/>
                <w:sz w:val="24"/>
              </w:rPr>
              <w:t>ID_4544</w:t>
            </w:r>
          </w:p>
        </w:tc>
        <w:tc>
          <w:tcPr>
            <w:tcW w:w="1352" w:type="dxa"/>
            <w:tcBorders>
              <w:bottom w:val="single" w:color="000000" w:sz="8" w:space="0"/>
            </w:tcBorders>
          </w:tcPr>
          <w:p>
            <w:pPr>
              <w:pStyle w:val="8"/>
              <w:spacing w:line="244" w:lineRule="exact"/>
              <w:ind w:right="410"/>
              <w:rPr>
                <w:color w:val="auto"/>
                <w:sz w:val="24"/>
              </w:rPr>
            </w:pPr>
            <w:r>
              <w:rPr>
                <w:color w:val="auto"/>
                <w:sz w:val="24"/>
              </w:rPr>
              <w:t>1</w:t>
            </w:r>
          </w:p>
        </w:tc>
        <w:tc>
          <w:tcPr>
            <w:tcW w:w="940" w:type="dxa"/>
            <w:tcBorders>
              <w:bottom w:val="single" w:color="000000" w:sz="8" w:space="0"/>
            </w:tcBorders>
          </w:tcPr>
          <w:p>
            <w:pPr>
              <w:pStyle w:val="8"/>
              <w:spacing w:line="244" w:lineRule="exact"/>
              <w:ind w:right="350"/>
              <w:rPr>
                <w:color w:val="auto"/>
                <w:sz w:val="24"/>
              </w:rPr>
            </w:pPr>
            <w:r>
              <w:rPr>
                <w:color w:val="auto"/>
                <w:sz w:val="24"/>
              </w:rPr>
              <w:t>0</w:t>
            </w:r>
          </w:p>
        </w:tc>
        <w:tc>
          <w:tcPr>
            <w:tcW w:w="1399" w:type="dxa"/>
            <w:tcBorders>
              <w:bottom w:val="single" w:color="000000" w:sz="8" w:space="0"/>
            </w:tcBorders>
          </w:tcPr>
          <w:p>
            <w:pPr>
              <w:pStyle w:val="8"/>
              <w:spacing w:line="244" w:lineRule="exact"/>
              <w:ind w:right="301"/>
              <w:rPr>
                <w:color w:val="auto"/>
                <w:sz w:val="24"/>
              </w:rPr>
            </w:pPr>
            <w:r>
              <w:rPr>
                <w:color w:val="auto"/>
                <w:sz w:val="24"/>
              </w:rPr>
              <w:t>-</w:t>
            </w:r>
            <w:r>
              <w:rPr>
                <w:color w:val="auto"/>
                <w:spacing w:val="-2"/>
                <w:sz w:val="24"/>
              </w:rPr>
              <w:t>427.09</w:t>
            </w:r>
          </w:p>
        </w:tc>
        <w:tc>
          <w:tcPr>
            <w:tcW w:w="1187" w:type="dxa"/>
            <w:tcBorders>
              <w:bottom w:val="single" w:color="000000" w:sz="8" w:space="0"/>
            </w:tcBorders>
          </w:tcPr>
          <w:p>
            <w:pPr>
              <w:pStyle w:val="8"/>
              <w:spacing w:line="244" w:lineRule="exact"/>
              <w:ind w:right="36"/>
              <w:rPr>
                <w:color w:val="auto"/>
                <w:sz w:val="24"/>
              </w:rPr>
            </w:pPr>
            <w:r>
              <w:rPr>
                <w:color w:val="auto"/>
                <w:sz w:val="24"/>
              </w:rPr>
              <w:t>-</w:t>
            </w:r>
            <w:r>
              <w:rPr>
                <w:color w:val="auto"/>
                <w:spacing w:val="-2"/>
                <w:sz w:val="24"/>
              </w:rPr>
              <w:t>319.35</w:t>
            </w:r>
          </w:p>
        </w:tc>
      </w:tr>
    </w:tbl>
    <w:p>
      <w:pPr>
        <w:autoSpaceDE w:val="0"/>
        <w:autoSpaceDN w:val="0"/>
        <w:adjustRightInd w:val="0"/>
        <w:spacing w:line="360" w:lineRule="auto"/>
        <w:rPr>
          <w:color w:val="auto"/>
        </w:rPr>
      </w:pPr>
    </w:p>
    <w:p>
      <w:pPr>
        <w:autoSpaceDE w:val="0"/>
        <w:autoSpaceDN w:val="0"/>
        <w:adjustRightInd w:val="0"/>
        <w:spacing w:line="360" w:lineRule="auto"/>
        <w:rPr>
          <w:rFonts w:ascii="Times New Roman" w:hAnsi="Times New Roman" w:cs="Times New Roman"/>
          <w:b/>
          <w:bCs/>
          <w:color w:val="auto"/>
          <w:kern w:val="0"/>
          <w:szCs w:val="21"/>
        </w:rPr>
      </w:pPr>
      <w:r>
        <w:rPr>
          <w:rFonts w:hint="eastAsia" w:ascii="Times New Roman" w:hAnsi="Times New Roman" w:cs="Times New Roman"/>
          <w:b/>
          <w:bCs/>
          <w:color w:val="auto"/>
          <w:kern w:val="0"/>
          <w:szCs w:val="21"/>
        </w:rPr>
        <w:t>SPOT</w:t>
      </w:r>
      <w:r>
        <w:rPr>
          <w:rFonts w:hint="eastAsia" w:ascii="Times New Roman" w:hAnsi="Times New Roman" w:cs="Times New Roman"/>
          <w:color w:val="auto"/>
          <w:kern w:val="0"/>
          <w:szCs w:val="21"/>
          <w:lang w:val="en-US" w:eastAsia="zh-CN"/>
        </w:rPr>
        <w:t xml:space="preserve">: </w:t>
      </w:r>
      <w:r>
        <w:rPr>
          <w:rFonts w:hint="eastAsia" w:ascii="Times New Roman" w:hAnsi="Times New Roman" w:cs="Times New Roman"/>
          <w:color w:val="auto"/>
          <w:kern w:val="0"/>
          <w:szCs w:val="21"/>
        </w:rPr>
        <w:t>Number of genes assigned in the STEM analysis</w:t>
      </w:r>
      <w:r>
        <w:rPr>
          <w:rFonts w:hint="eastAsia" w:ascii="Times New Roman" w:hAnsi="Times New Roman" w:cs="Times New Roman"/>
          <w:color w:val="auto"/>
          <w:kern w:val="0"/>
          <w:szCs w:val="21"/>
          <w:lang w:val="en-US" w:eastAsia="zh-CN"/>
        </w:rPr>
        <w:t xml:space="preserve">. </w:t>
      </w:r>
      <w:r>
        <w:rPr>
          <w:rFonts w:hint="eastAsia" w:ascii="Times New Roman" w:hAnsi="Times New Roman" w:cs="Times New Roman"/>
          <w:b/>
          <w:bCs/>
          <w:color w:val="auto"/>
          <w:kern w:val="0"/>
          <w:szCs w:val="21"/>
          <w:lang w:val="en-US" w:eastAsia="zh-CN"/>
        </w:rPr>
        <w:t xml:space="preserve">Profile: </w:t>
      </w:r>
      <w:r>
        <w:rPr>
          <w:rFonts w:hint="eastAsia" w:ascii="Times New Roman" w:hAnsi="Times New Roman" w:cs="Times New Roman"/>
          <w:color w:val="auto"/>
          <w:kern w:val="0"/>
          <w:szCs w:val="21"/>
          <w:lang w:val="en-US" w:eastAsia="zh-CN"/>
        </w:rPr>
        <w:t>The gene is situated within the trend number. The follow-up columns: The median gene expression values for each group normalized by STEM.</w:t>
      </w: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r>
        <w:rPr>
          <w:color w:val="auto"/>
        </w:rPr>
        <w:drawing>
          <wp:inline distT="0" distB="0" distL="0" distR="0">
            <wp:extent cx="5582285" cy="5067300"/>
            <wp:effectExtent l="0" t="0" r="571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4" cstate="print">
                      <a:extLst>
                        <a:ext uri="{28A0092B-C50C-407E-A947-70E740481C1C}">
                          <a14:useLocalDpi xmlns:a14="http://schemas.microsoft.com/office/drawing/2010/main" val="0"/>
                        </a:ext>
                      </a:extLst>
                    </a:blip>
                    <a:srcRect b="35797"/>
                    <a:stretch>
                      <a:fillRect/>
                    </a:stretch>
                  </pic:blipFill>
                  <pic:spPr>
                    <a:xfrm>
                      <a:off x="0" y="0"/>
                      <a:ext cx="5582285" cy="5067300"/>
                    </a:xfrm>
                    <a:prstGeom prst="rect">
                      <a:avLst/>
                    </a:prstGeom>
                    <a:noFill/>
                    <a:ln>
                      <a:noFill/>
                    </a:ln>
                  </pic:spPr>
                </pic:pic>
              </a:graphicData>
            </a:graphic>
          </wp:inline>
        </w:drawing>
      </w:r>
    </w:p>
    <w:p>
      <w:pPr>
        <w:autoSpaceDE w:val="0"/>
        <w:autoSpaceDN w:val="0"/>
        <w:adjustRightInd w:val="0"/>
        <w:spacing w:line="360" w:lineRule="auto"/>
        <w:rPr>
          <w:rFonts w:ascii="Times New Roman" w:hAnsi="Times New Roman" w:cs="Times New Roman"/>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r>
        <w:rPr>
          <w:rFonts w:ascii="Times New Roman" w:hAnsi="Times New Roman" w:cs="Times New Roman"/>
          <w:b/>
          <w:bCs/>
          <w:color w:val="auto"/>
          <w:kern w:val="0"/>
          <w:szCs w:val="21"/>
        </w:rPr>
        <w:t>Supplementary Fig</w:t>
      </w:r>
      <w:r>
        <w:rPr>
          <w:rFonts w:hint="eastAsia" w:ascii="Times New Roman" w:hAnsi="Times New Roman" w:cs="Times New Roman"/>
          <w:b/>
          <w:bCs/>
          <w:color w:val="auto"/>
          <w:kern w:val="0"/>
          <w:szCs w:val="21"/>
          <w:lang w:val="en-US" w:eastAsia="zh-CN"/>
        </w:rPr>
        <w:t>ure</w:t>
      </w:r>
      <w:r>
        <w:rPr>
          <w:rFonts w:ascii="Times New Roman" w:hAnsi="Times New Roman" w:cs="Times New Roman"/>
          <w:b/>
          <w:bCs/>
          <w:color w:val="auto"/>
          <w:kern w:val="0"/>
          <w:szCs w:val="21"/>
        </w:rPr>
        <w:t xml:space="preserve"> S1</w:t>
      </w:r>
    </w:p>
    <w:p>
      <w:pPr>
        <w:autoSpaceDE w:val="0"/>
        <w:autoSpaceDN w:val="0"/>
        <w:adjustRightInd w:val="0"/>
        <w:spacing w:line="360" w:lineRule="auto"/>
        <w:rPr>
          <w:rFonts w:ascii="Times New Roman" w:hAnsi="Times New Roman" w:cs="Times New Roman"/>
          <w:color w:val="auto"/>
          <w:kern w:val="0"/>
          <w:szCs w:val="21"/>
        </w:rPr>
      </w:pPr>
      <w:r>
        <w:rPr>
          <w:rFonts w:ascii="Times New Roman" w:hAnsi="Times New Roman" w:cs="Times New Roman"/>
          <w:b/>
          <w:bCs/>
          <w:color w:val="auto"/>
          <w:kern w:val="0"/>
          <w:szCs w:val="21"/>
        </w:rPr>
        <w:t>A</w:t>
      </w:r>
      <w:r>
        <w:rPr>
          <w:rFonts w:hint="eastAsia" w:ascii="Times New Roman" w:hAnsi="Times New Roman" w:cs="Times New Roman"/>
          <w:color w:val="auto"/>
          <w:kern w:val="0"/>
          <w:szCs w:val="21"/>
          <w:lang w:val="en-US" w:eastAsia="zh-CN"/>
        </w:rPr>
        <w:t>.</w:t>
      </w:r>
      <w:r>
        <w:rPr>
          <w:rFonts w:ascii="Times New Roman" w:hAnsi="Times New Roman" w:cs="Times New Roman"/>
          <w:color w:val="auto"/>
          <w:kern w:val="0"/>
          <w:szCs w:val="21"/>
        </w:rPr>
        <w:t xml:space="preserve"> HE staining of paired PVTT samples (PVTT), primary tumors (T) and normal liver tissues (N). The representative images were shown. </w:t>
      </w:r>
      <w:r>
        <w:rPr>
          <w:rFonts w:ascii="Times New Roman" w:hAnsi="Times New Roman" w:cs="Times New Roman"/>
          <w:b/>
          <w:bCs/>
          <w:color w:val="auto"/>
          <w:kern w:val="0"/>
          <w:szCs w:val="21"/>
        </w:rPr>
        <w:t>B</w:t>
      </w:r>
      <w:r>
        <w:rPr>
          <w:rFonts w:hint="eastAsia" w:ascii="Times New Roman" w:hAnsi="Times New Roman" w:cs="Times New Roman"/>
          <w:color w:val="auto"/>
          <w:kern w:val="0"/>
          <w:szCs w:val="21"/>
          <w:lang w:val="en-US" w:eastAsia="zh-CN"/>
        </w:rPr>
        <w:t>.</w:t>
      </w:r>
      <w:r>
        <w:rPr>
          <w:rFonts w:ascii="Times New Roman" w:hAnsi="Times New Roman" w:cs="Times New Roman"/>
          <w:color w:val="auto"/>
          <w:kern w:val="0"/>
          <w:szCs w:val="21"/>
        </w:rPr>
        <w:t xml:space="preserve"> Immunohistochemistry staining of CD62P in paired PVTT, primary tumors (T) and normal liver tissues (N). </w:t>
      </w:r>
      <w:r>
        <w:rPr>
          <w:rFonts w:ascii="Times New Roman" w:hAnsi="Times New Roman" w:cs="Times New Roman"/>
          <w:b/>
          <w:bCs/>
          <w:color w:val="auto"/>
          <w:kern w:val="0"/>
          <w:szCs w:val="21"/>
        </w:rPr>
        <w:t>C</w:t>
      </w:r>
      <w:r>
        <w:rPr>
          <w:rFonts w:hint="eastAsia" w:ascii="Times New Roman" w:hAnsi="Times New Roman" w:cs="Times New Roman"/>
          <w:color w:val="auto"/>
          <w:kern w:val="0"/>
          <w:szCs w:val="21"/>
          <w:lang w:val="en-US" w:eastAsia="zh-CN"/>
        </w:rPr>
        <w:t>.</w:t>
      </w:r>
      <w:r>
        <w:rPr>
          <w:rFonts w:ascii="Times New Roman" w:hAnsi="Times New Roman" w:cs="Times New Roman"/>
          <w:color w:val="auto"/>
          <w:kern w:val="0"/>
          <w:szCs w:val="21"/>
        </w:rPr>
        <w:t xml:space="preserve"> Immunohistochemistry staining of Fibrinogen in paired PVTT, primary tumors (T) and normal liver tissues (N).</w:t>
      </w:r>
    </w:p>
    <w:p>
      <w:pPr>
        <w:autoSpaceDE w:val="0"/>
        <w:autoSpaceDN w:val="0"/>
        <w:adjustRightInd w:val="0"/>
        <w:spacing w:line="360" w:lineRule="auto"/>
        <w:rPr>
          <w:rFonts w:ascii="Times New Roman" w:hAnsi="Times New Roman" w:cs="Times New Roman"/>
          <w:color w:val="auto"/>
          <w:kern w:val="0"/>
          <w:szCs w:val="21"/>
        </w:rPr>
      </w:pPr>
    </w:p>
    <w:p>
      <w:pPr>
        <w:autoSpaceDE w:val="0"/>
        <w:autoSpaceDN w:val="0"/>
        <w:adjustRightInd w:val="0"/>
        <w:spacing w:line="360" w:lineRule="auto"/>
        <w:rPr>
          <w:rFonts w:ascii="Times New Roman" w:hAnsi="Times New Roman" w:cs="Times New Roman"/>
          <w:color w:val="auto"/>
          <w:kern w:val="0"/>
          <w:szCs w:val="21"/>
        </w:rPr>
      </w:pPr>
      <w:r>
        <w:rPr>
          <w:color w:val="auto"/>
        </w:rPr>
        <w:drawing>
          <wp:inline distT="0" distB="0" distL="0" distR="0">
            <wp:extent cx="5597525" cy="5903595"/>
            <wp:effectExtent l="0" t="0" r="3175" b="190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5" cstate="print">
                      <a:extLst>
                        <a:ext uri="{28A0092B-C50C-407E-A947-70E740481C1C}">
                          <a14:useLocalDpi xmlns:a14="http://schemas.microsoft.com/office/drawing/2010/main" val="0"/>
                        </a:ext>
                      </a:extLst>
                    </a:blip>
                    <a:srcRect b="21863"/>
                    <a:stretch>
                      <a:fillRect/>
                    </a:stretch>
                  </pic:blipFill>
                  <pic:spPr>
                    <a:xfrm>
                      <a:off x="0" y="0"/>
                      <a:ext cx="5597525" cy="5903595"/>
                    </a:xfrm>
                    <a:prstGeom prst="rect">
                      <a:avLst/>
                    </a:prstGeom>
                    <a:noFill/>
                    <a:ln>
                      <a:noFill/>
                    </a:ln>
                  </pic:spPr>
                </pic:pic>
              </a:graphicData>
            </a:graphic>
          </wp:inline>
        </w:drawing>
      </w:r>
    </w:p>
    <w:p>
      <w:pPr>
        <w:autoSpaceDE w:val="0"/>
        <w:autoSpaceDN w:val="0"/>
        <w:adjustRightInd w:val="0"/>
        <w:spacing w:line="360" w:lineRule="auto"/>
        <w:rPr>
          <w:rFonts w:ascii="Times New Roman" w:hAnsi="Times New Roman" w:cs="Times New Roman"/>
          <w:b/>
          <w:bCs/>
          <w:color w:val="auto"/>
          <w:kern w:val="0"/>
          <w:szCs w:val="21"/>
        </w:rPr>
      </w:pPr>
      <w:r>
        <w:rPr>
          <w:rFonts w:ascii="Times New Roman" w:hAnsi="Times New Roman" w:cs="Times New Roman"/>
          <w:b/>
          <w:bCs/>
          <w:color w:val="auto"/>
          <w:kern w:val="0"/>
          <w:szCs w:val="21"/>
        </w:rPr>
        <w:t>Supplementary Fig</w:t>
      </w:r>
      <w:r>
        <w:rPr>
          <w:rFonts w:hint="eastAsia" w:ascii="Times New Roman" w:hAnsi="Times New Roman" w:cs="Times New Roman"/>
          <w:b/>
          <w:bCs/>
          <w:color w:val="auto"/>
          <w:kern w:val="0"/>
          <w:szCs w:val="21"/>
          <w:lang w:val="en-US" w:eastAsia="zh-CN"/>
        </w:rPr>
        <w:t>ure</w:t>
      </w:r>
      <w:r>
        <w:rPr>
          <w:rFonts w:ascii="Times New Roman" w:hAnsi="Times New Roman" w:cs="Times New Roman"/>
          <w:b/>
          <w:bCs/>
          <w:color w:val="auto"/>
          <w:kern w:val="0"/>
          <w:szCs w:val="21"/>
        </w:rPr>
        <w:t xml:space="preserve"> S2</w:t>
      </w:r>
    </w:p>
    <w:p>
      <w:pPr>
        <w:autoSpaceDE w:val="0"/>
        <w:autoSpaceDN w:val="0"/>
        <w:adjustRightInd w:val="0"/>
        <w:spacing w:line="360" w:lineRule="auto"/>
        <w:rPr>
          <w:rFonts w:ascii="Times New Roman" w:hAnsi="Times New Roman" w:cs="Times New Roman"/>
          <w:color w:val="auto"/>
          <w:kern w:val="0"/>
          <w:szCs w:val="21"/>
        </w:rPr>
      </w:pPr>
      <w:r>
        <w:rPr>
          <w:rFonts w:ascii="Times New Roman" w:hAnsi="Times New Roman" w:cs="Times New Roman"/>
          <w:b/>
          <w:bCs/>
          <w:color w:val="auto"/>
          <w:kern w:val="0"/>
          <w:szCs w:val="21"/>
        </w:rPr>
        <w:t>A</w:t>
      </w:r>
      <w:r>
        <w:rPr>
          <w:rFonts w:hint="eastAsia" w:ascii="Times New Roman" w:hAnsi="Times New Roman" w:cs="Times New Roman"/>
          <w:color w:val="auto"/>
          <w:kern w:val="0"/>
          <w:szCs w:val="21"/>
          <w:lang w:val="en-US" w:eastAsia="zh-CN"/>
        </w:rPr>
        <w:t>.</w:t>
      </w:r>
      <w:r>
        <w:rPr>
          <w:rFonts w:ascii="Times New Roman" w:hAnsi="Times New Roman" w:cs="Times New Roman"/>
          <w:color w:val="auto"/>
          <w:kern w:val="0"/>
          <w:szCs w:val="21"/>
        </w:rPr>
        <w:t xml:space="preserve"> UpSet diagram analysis of the differential gene expression of PVTT tissues, paired primary tumors (Ts), nontumorous tissues (Ns). </w:t>
      </w:r>
      <w:r>
        <w:rPr>
          <w:rFonts w:ascii="Times New Roman" w:hAnsi="Times New Roman" w:cs="Times New Roman"/>
          <w:b/>
          <w:bCs/>
          <w:color w:val="auto"/>
          <w:kern w:val="0"/>
          <w:szCs w:val="21"/>
        </w:rPr>
        <w:t>B</w:t>
      </w:r>
      <w:r>
        <w:rPr>
          <w:rFonts w:hint="eastAsia" w:ascii="Times New Roman" w:hAnsi="Times New Roman" w:cs="Times New Roman"/>
          <w:color w:val="auto"/>
          <w:kern w:val="0"/>
          <w:szCs w:val="21"/>
          <w:lang w:val="en-US" w:eastAsia="zh-CN"/>
        </w:rPr>
        <w:t>.</w:t>
      </w:r>
      <w:r>
        <w:rPr>
          <w:rFonts w:ascii="Times New Roman" w:hAnsi="Times New Roman" w:cs="Times New Roman"/>
          <w:color w:val="auto"/>
          <w:kern w:val="0"/>
          <w:szCs w:val="21"/>
        </w:rPr>
        <w:t xml:space="preserve"> Series Test of Cluster (STC) analysis for DEGs of collagen molecules in PVTT tissues, paired primary tumors (Ts), nontumorous tissues (Ns).</w:t>
      </w:r>
      <w:r>
        <w:rPr>
          <w:rFonts w:hint="eastAsia" w:ascii="Times New Roman" w:hAnsi="Times New Roman" w:cs="Times New Roman"/>
          <w:color w:val="auto"/>
          <w:kern w:val="0"/>
          <w:szCs w:val="21"/>
          <w:lang w:val="en-US" w:eastAsia="zh-CN"/>
        </w:rPr>
        <w:t xml:space="preserve"> </w:t>
      </w:r>
      <w:r>
        <w:rPr>
          <w:rFonts w:hint="eastAsia" w:ascii="Times New Roman" w:hAnsi="Times New Roman" w:cs="Times New Roman"/>
          <w:color w:val="auto"/>
          <w:kern w:val="0"/>
          <w:szCs w:val="21"/>
          <w:lang w:val="en-US" w:eastAsia="zh-CN"/>
        </w:rPr>
        <w:t>Each box represents a gene expression trend model. The number on the top of the box indicates the trend number. The line segment during the experiment, from left to right, shows Ns, Ts and PVTT. The smaller P-value value on the left of the box indicates higher model credibility. Red and green colors indicate significant changes in trend. The screening criteria default to a p value of &lt; 0.05. In this context, red signifies a significant upward trend, while green signifies a significant downward trend.</w:t>
      </w:r>
      <w:r>
        <w:rPr>
          <w:rFonts w:hint="eastAsia"/>
          <w:color w:val="auto"/>
          <w:lang w:val="en-US" w:eastAsia="zh-CN"/>
        </w:rPr>
        <w:t xml:space="preserve"> </w:t>
      </w:r>
      <w:r>
        <w:rPr>
          <w:rFonts w:ascii="Times New Roman" w:hAnsi="Times New Roman" w:cs="Times New Roman"/>
          <w:b/>
          <w:bCs/>
          <w:color w:val="auto"/>
          <w:kern w:val="0"/>
          <w:szCs w:val="21"/>
        </w:rPr>
        <w:t>C</w:t>
      </w:r>
      <w:r>
        <w:rPr>
          <w:rFonts w:ascii="Times New Roman" w:hAnsi="Times New Roman" w:cs="Times New Roman"/>
          <w:color w:val="auto"/>
          <w:kern w:val="0"/>
          <w:szCs w:val="21"/>
        </w:rPr>
        <w:t>-</w:t>
      </w:r>
      <w:r>
        <w:rPr>
          <w:rFonts w:ascii="Times New Roman" w:hAnsi="Times New Roman" w:cs="Times New Roman"/>
          <w:b/>
          <w:bCs/>
          <w:color w:val="auto"/>
          <w:kern w:val="0"/>
          <w:szCs w:val="21"/>
        </w:rPr>
        <w:t>D</w:t>
      </w:r>
      <w:r>
        <w:rPr>
          <w:rFonts w:hint="eastAsia" w:ascii="Times New Roman" w:hAnsi="Times New Roman" w:cs="Times New Roman"/>
          <w:color w:val="auto"/>
          <w:kern w:val="0"/>
          <w:szCs w:val="21"/>
          <w:lang w:val="en-US" w:eastAsia="zh-CN"/>
        </w:rPr>
        <w:t>.</w:t>
      </w:r>
      <w:r>
        <w:rPr>
          <w:rFonts w:ascii="Times New Roman" w:hAnsi="Times New Roman" w:cs="Times New Roman"/>
          <w:color w:val="auto"/>
          <w:kern w:val="0"/>
          <w:szCs w:val="21"/>
        </w:rPr>
        <w:t xml:space="preserve"> Expression correlation of COL4A1 and TGFB1 (</w:t>
      </w:r>
      <w:r>
        <w:rPr>
          <w:rFonts w:ascii="Times New Roman" w:hAnsi="Times New Roman" w:cs="Times New Roman"/>
          <w:b/>
          <w:bCs/>
          <w:color w:val="auto"/>
          <w:kern w:val="0"/>
          <w:szCs w:val="21"/>
        </w:rPr>
        <w:t>C</w:t>
      </w:r>
      <w:r>
        <w:rPr>
          <w:rFonts w:ascii="Times New Roman" w:hAnsi="Times New Roman" w:cs="Times New Roman"/>
          <w:color w:val="auto"/>
          <w:kern w:val="0"/>
          <w:szCs w:val="21"/>
        </w:rPr>
        <w:t>) or KITLG (</w:t>
      </w:r>
      <w:r>
        <w:rPr>
          <w:rFonts w:ascii="Times New Roman" w:hAnsi="Times New Roman" w:cs="Times New Roman"/>
          <w:b/>
          <w:bCs/>
          <w:color w:val="auto"/>
          <w:kern w:val="0"/>
          <w:szCs w:val="21"/>
        </w:rPr>
        <w:t>D</w:t>
      </w:r>
      <w:r>
        <w:rPr>
          <w:rFonts w:ascii="Times New Roman" w:hAnsi="Times New Roman" w:cs="Times New Roman"/>
          <w:color w:val="auto"/>
          <w:kern w:val="0"/>
          <w:szCs w:val="21"/>
        </w:rPr>
        <w:t>) according to TCGA datasets. Linear regression analysis showed a positive correlation between mRNA levels of KITLG (R = 0.351, p &lt; 0.0001) but a much weaker correlation between TGFB1 (R = 0.263, p &lt; 0.0001) and COL4A1 from HCC samples in TCGA database.</w:t>
      </w:r>
    </w:p>
    <w:p>
      <w:pPr>
        <w:rPr>
          <w:color w:val="auto"/>
        </w:rPr>
      </w:pPr>
      <w:r>
        <w:rPr>
          <w:color w:val="auto"/>
        </w:rPr>
        <w:drawing>
          <wp:inline distT="0" distB="0" distL="0" distR="0">
            <wp:extent cx="5274310" cy="590550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6" cstate="print">
                      <a:extLst>
                        <a:ext uri="{28A0092B-C50C-407E-A947-70E740481C1C}">
                          <a14:useLocalDpi xmlns:a14="http://schemas.microsoft.com/office/drawing/2010/main" val="0"/>
                        </a:ext>
                      </a:extLst>
                    </a:blip>
                    <a:srcRect b="17045"/>
                    <a:stretch>
                      <a:fillRect/>
                    </a:stretch>
                  </pic:blipFill>
                  <pic:spPr>
                    <a:xfrm>
                      <a:off x="0" y="0"/>
                      <a:ext cx="5274310" cy="5905500"/>
                    </a:xfrm>
                    <a:prstGeom prst="rect">
                      <a:avLst/>
                    </a:prstGeom>
                    <a:noFill/>
                    <a:ln>
                      <a:noFill/>
                    </a:ln>
                  </pic:spPr>
                </pic:pic>
              </a:graphicData>
            </a:graphic>
          </wp:inline>
        </w:drawing>
      </w:r>
    </w:p>
    <w:p>
      <w:pPr>
        <w:rPr>
          <w:color w:val="auto"/>
        </w:rPr>
      </w:pPr>
    </w:p>
    <w:p>
      <w:pPr>
        <w:autoSpaceDE w:val="0"/>
        <w:autoSpaceDN w:val="0"/>
        <w:adjustRightInd w:val="0"/>
        <w:spacing w:line="360" w:lineRule="auto"/>
        <w:rPr>
          <w:rFonts w:ascii="Times New Roman" w:hAnsi="Times New Roman" w:cs="Times New Roman"/>
          <w:b/>
          <w:bCs/>
          <w:color w:val="auto"/>
          <w:kern w:val="0"/>
          <w:szCs w:val="21"/>
        </w:rPr>
      </w:pPr>
      <w:r>
        <w:rPr>
          <w:rFonts w:ascii="Times New Roman" w:hAnsi="Times New Roman" w:cs="Times New Roman"/>
          <w:b/>
          <w:bCs/>
          <w:color w:val="auto"/>
          <w:kern w:val="0"/>
          <w:szCs w:val="21"/>
        </w:rPr>
        <w:t>Supplementary Fig</w:t>
      </w:r>
      <w:r>
        <w:rPr>
          <w:rFonts w:hint="eastAsia" w:ascii="Times New Roman" w:hAnsi="Times New Roman" w:cs="Times New Roman"/>
          <w:b/>
          <w:bCs/>
          <w:color w:val="auto"/>
          <w:kern w:val="0"/>
          <w:szCs w:val="21"/>
          <w:lang w:val="en-US" w:eastAsia="zh-CN"/>
        </w:rPr>
        <w:t>ure</w:t>
      </w:r>
      <w:r>
        <w:rPr>
          <w:rFonts w:ascii="Times New Roman" w:hAnsi="Times New Roman" w:cs="Times New Roman"/>
          <w:b/>
          <w:bCs/>
          <w:color w:val="auto"/>
          <w:kern w:val="0"/>
          <w:szCs w:val="21"/>
        </w:rPr>
        <w:t xml:space="preserve"> S3</w:t>
      </w:r>
    </w:p>
    <w:p>
      <w:pPr>
        <w:autoSpaceDE w:val="0"/>
        <w:autoSpaceDN w:val="0"/>
        <w:adjustRightInd w:val="0"/>
        <w:spacing w:line="360" w:lineRule="auto"/>
        <w:rPr>
          <w:rFonts w:ascii="Times New Roman" w:hAnsi="Times New Roman" w:cs="Times New Roman"/>
          <w:color w:val="auto"/>
          <w:kern w:val="0"/>
          <w:szCs w:val="21"/>
        </w:rPr>
      </w:pPr>
      <w:r>
        <w:rPr>
          <w:rFonts w:ascii="Times New Roman" w:hAnsi="Times New Roman" w:cs="Times New Roman"/>
          <w:b/>
          <w:bCs/>
          <w:color w:val="auto"/>
          <w:kern w:val="0"/>
          <w:szCs w:val="21"/>
        </w:rPr>
        <w:t>A</w:t>
      </w:r>
      <w:r>
        <w:rPr>
          <w:rFonts w:hint="eastAsia" w:ascii="Times New Roman" w:hAnsi="Times New Roman" w:cs="Times New Roman"/>
          <w:color w:val="auto"/>
          <w:kern w:val="0"/>
          <w:szCs w:val="21"/>
          <w:lang w:val="en-US" w:eastAsia="zh-CN"/>
        </w:rPr>
        <w:t>.</w:t>
      </w:r>
      <w:r>
        <w:rPr>
          <w:rFonts w:ascii="Times New Roman" w:hAnsi="Times New Roman" w:cs="Times New Roman"/>
          <w:color w:val="auto"/>
          <w:kern w:val="0"/>
          <w:szCs w:val="21"/>
        </w:rPr>
        <w:t xml:space="preserve"> Immunohistochemistry staining of COL4A1 was performed in paired PVTT samples (PVTT), primary tumors (T) and normal liver tissues (N) </w:t>
      </w:r>
      <w:r>
        <w:rPr>
          <w:rFonts w:hint="eastAsia" w:ascii="Times New Roman" w:hAnsi="Times New Roman" w:cs="Times New Roman"/>
          <w:color w:val="auto"/>
          <w:kern w:val="0"/>
          <w:szCs w:val="21"/>
        </w:rPr>
        <w:t>from</w:t>
      </w:r>
      <w:r>
        <w:rPr>
          <w:rFonts w:ascii="Times New Roman" w:hAnsi="Times New Roman" w:cs="Times New Roman"/>
          <w:color w:val="auto"/>
          <w:kern w:val="0"/>
          <w:szCs w:val="21"/>
        </w:rPr>
        <w:t xml:space="preserve"> 6 </w:t>
      </w:r>
      <w:r>
        <w:rPr>
          <w:rFonts w:hint="eastAsia" w:ascii="Times New Roman" w:hAnsi="Times New Roman" w:cs="Times New Roman"/>
          <w:color w:val="auto"/>
          <w:kern w:val="0"/>
          <w:szCs w:val="21"/>
        </w:rPr>
        <w:t>patients</w:t>
      </w:r>
      <w:r>
        <w:rPr>
          <w:rFonts w:ascii="Times New Roman" w:hAnsi="Times New Roman" w:cs="Times New Roman"/>
          <w:color w:val="auto"/>
          <w:kern w:val="0"/>
          <w:szCs w:val="21"/>
        </w:rPr>
        <w:t xml:space="preserve">. </w:t>
      </w:r>
      <w:r>
        <w:rPr>
          <w:rFonts w:ascii="Times New Roman" w:hAnsi="Times New Roman" w:cs="Times New Roman"/>
          <w:b/>
          <w:bCs/>
          <w:color w:val="auto"/>
          <w:kern w:val="0"/>
          <w:szCs w:val="21"/>
        </w:rPr>
        <w:t>B</w:t>
      </w:r>
      <w:r>
        <w:rPr>
          <w:rFonts w:hint="eastAsia" w:ascii="Times New Roman" w:hAnsi="Times New Roman" w:cs="Times New Roman"/>
          <w:color w:val="auto"/>
          <w:kern w:val="0"/>
          <w:szCs w:val="21"/>
          <w:lang w:val="en-US" w:eastAsia="zh-CN"/>
        </w:rPr>
        <w:t>.</w:t>
      </w:r>
      <w:r>
        <w:rPr>
          <w:rFonts w:ascii="Times New Roman" w:hAnsi="Times New Roman" w:cs="Times New Roman"/>
          <w:color w:val="auto"/>
          <w:kern w:val="0"/>
          <w:szCs w:val="21"/>
        </w:rPr>
        <w:t xml:space="preserve"> COL4A1 mRNA expression level in N, T, PVTT tissues according to GSE77509 (20 HCC with PVTT patients).</w:t>
      </w:r>
    </w:p>
    <w:p>
      <w:pPr>
        <w:rPr>
          <w:color w:val="auto"/>
        </w:rPr>
      </w:pPr>
    </w:p>
    <w:p>
      <w:pPr>
        <w:rPr>
          <w:color w:val="auto"/>
        </w:rPr>
      </w:pPr>
      <w:r>
        <w:rPr>
          <w:color w:val="auto"/>
        </w:rPr>
        <w:drawing>
          <wp:inline distT="0" distB="0" distL="0" distR="0">
            <wp:extent cx="5274310" cy="603885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7" cstate="print">
                      <a:extLst>
                        <a:ext uri="{28A0092B-C50C-407E-A947-70E740481C1C}">
                          <a14:useLocalDpi xmlns:a14="http://schemas.microsoft.com/office/drawing/2010/main" val="0"/>
                        </a:ext>
                      </a:extLst>
                    </a:blip>
                    <a:srcRect b="15172"/>
                    <a:stretch>
                      <a:fillRect/>
                    </a:stretch>
                  </pic:blipFill>
                  <pic:spPr>
                    <a:xfrm>
                      <a:off x="0" y="0"/>
                      <a:ext cx="5274310" cy="6038850"/>
                    </a:xfrm>
                    <a:prstGeom prst="rect">
                      <a:avLst/>
                    </a:prstGeom>
                    <a:noFill/>
                    <a:ln>
                      <a:noFill/>
                    </a:ln>
                  </pic:spPr>
                </pic:pic>
              </a:graphicData>
            </a:graphic>
          </wp:inline>
        </w:drawing>
      </w:r>
    </w:p>
    <w:p>
      <w:pPr>
        <w:autoSpaceDE w:val="0"/>
        <w:autoSpaceDN w:val="0"/>
        <w:adjustRightInd w:val="0"/>
        <w:spacing w:line="360" w:lineRule="auto"/>
        <w:rPr>
          <w:rFonts w:ascii="Times New Roman" w:hAnsi="Times New Roman" w:cs="Times New Roman"/>
          <w:b/>
          <w:bCs/>
          <w:color w:val="auto"/>
          <w:kern w:val="0"/>
          <w:szCs w:val="21"/>
        </w:rPr>
      </w:pPr>
      <w:r>
        <w:rPr>
          <w:rFonts w:ascii="Times New Roman" w:hAnsi="Times New Roman" w:cs="Times New Roman"/>
          <w:b/>
          <w:bCs/>
          <w:color w:val="auto"/>
          <w:kern w:val="0"/>
          <w:szCs w:val="21"/>
        </w:rPr>
        <w:t>Supplementary Fig</w:t>
      </w:r>
      <w:r>
        <w:rPr>
          <w:rFonts w:hint="eastAsia" w:ascii="Times New Roman" w:hAnsi="Times New Roman" w:cs="Times New Roman"/>
          <w:b/>
          <w:bCs/>
          <w:color w:val="auto"/>
          <w:kern w:val="0"/>
          <w:szCs w:val="21"/>
          <w:lang w:val="en-US" w:eastAsia="zh-CN"/>
        </w:rPr>
        <w:t>ure</w:t>
      </w:r>
      <w:r>
        <w:rPr>
          <w:rFonts w:ascii="Times New Roman" w:hAnsi="Times New Roman" w:cs="Times New Roman"/>
          <w:b/>
          <w:bCs/>
          <w:color w:val="auto"/>
          <w:kern w:val="0"/>
          <w:szCs w:val="21"/>
        </w:rPr>
        <w:t xml:space="preserve"> S4</w:t>
      </w:r>
    </w:p>
    <w:p>
      <w:pPr>
        <w:autoSpaceDE w:val="0"/>
        <w:autoSpaceDN w:val="0"/>
        <w:adjustRightInd w:val="0"/>
        <w:spacing w:line="360" w:lineRule="auto"/>
        <w:rPr>
          <w:rFonts w:ascii="Times New Roman" w:hAnsi="Times New Roman" w:cs="Times New Roman"/>
          <w:color w:val="auto"/>
          <w:kern w:val="0"/>
          <w:szCs w:val="21"/>
        </w:rPr>
      </w:pPr>
      <w:r>
        <w:rPr>
          <w:rFonts w:ascii="Times New Roman" w:hAnsi="Times New Roman" w:cs="Times New Roman"/>
          <w:b/>
          <w:bCs/>
          <w:color w:val="auto"/>
          <w:kern w:val="0"/>
          <w:szCs w:val="21"/>
        </w:rPr>
        <w:t>A</w:t>
      </w:r>
      <w:r>
        <w:rPr>
          <w:rFonts w:hint="eastAsia" w:ascii="Times New Roman" w:hAnsi="Times New Roman" w:cs="Times New Roman"/>
          <w:color w:val="auto"/>
          <w:kern w:val="0"/>
          <w:szCs w:val="21"/>
          <w:lang w:val="en-US" w:eastAsia="zh-CN"/>
        </w:rPr>
        <w:t>.</w:t>
      </w:r>
      <w:r>
        <w:rPr>
          <w:rFonts w:ascii="Times New Roman" w:hAnsi="Times New Roman" w:cs="Times New Roman"/>
          <w:color w:val="auto"/>
          <w:kern w:val="0"/>
          <w:szCs w:val="21"/>
        </w:rPr>
        <w:t xml:space="preserve"> Immunohistochemistry staining of KITLG was performed in paired PVTT samples (PVTT), primary tumors (T) and normal liver tissues (N) </w:t>
      </w:r>
      <w:r>
        <w:rPr>
          <w:rFonts w:hint="eastAsia" w:ascii="Times New Roman" w:hAnsi="Times New Roman" w:cs="Times New Roman"/>
          <w:color w:val="auto"/>
          <w:kern w:val="0"/>
          <w:szCs w:val="21"/>
        </w:rPr>
        <w:t>from</w:t>
      </w:r>
      <w:r>
        <w:rPr>
          <w:rFonts w:ascii="Times New Roman" w:hAnsi="Times New Roman" w:cs="Times New Roman"/>
          <w:color w:val="auto"/>
          <w:kern w:val="0"/>
          <w:szCs w:val="21"/>
        </w:rPr>
        <w:t xml:space="preserve"> 6 </w:t>
      </w:r>
      <w:r>
        <w:rPr>
          <w:rFonts w:hint="eastAsia" w:ascii="Times New Roman" w:hAnsi="Times New Roman" w:cs="Times New Roman"/>
          <w:color w:val="auto"/>
          <w:kern w:val="0"/>
          <w:szCs w:val="21"/>
        </w:rPr>
        <w:t>patients</w:t>
      </w:r>
      <w:r>
        <w:rPr>
          <w:rFonts w:ascii="Times New Roman" w:hAnsi="Times New Roman" w:cs="Times New Roman"/>
          <w:color w:val="auto"/>
          <w:kern w:val="0"/>
          <w:szCs w:val="21"/>
        </w:rPr>
        <w:t xml:space="preserve">. </w:t>
      </w:r>
      <w:r>
        <w:rPr>
          <w:rFonts w:ascii="Times New Roman" w:hAnsi="Times New Roman" w:cs="Times New Roman"/>
          <w:b/>
          <w:bCs/>
          <w:color w:val="auto"/>
          <w:kern w:val="0"/>
          <w:szCs w:val="21"/>
        </w:rPr>
        <w:t>B</w:t>
      </w:r>
      <w:r>
        <w:rPr>
          <w:rFonts w:hint="eastAsia" w:ascii="Times New Roman" w:hAnsi="Times New Roman" w:cs="Times New Roman"/>
          <w:b/>
          <w:bCs/>
          <w:color w:val="auto"/>
          <w:kern w:val="0"/>
          <w:szCs w:val="21"/>
          <w:lang w:val="en-US" w:eastAsia="zh-CN"/>
        </w:rPr>
        <w:t>.</w:t>
      </w:r>
      <w:r>
        <w:rPr>
          <w:rFonts w:ascii="Times New Roman" w:hAnsi="Times New Roman" w:cs="Times New Roman"/>
          <w:color w:val="auto"/>
          <w:kern w:val="0"/>
          <w:szCs w:val="21"/>
        </w:rPr>
        <w:t xml:space="preserve"> KITLG mRNA expression level in N, T, PVTT tissues according to GSE77509 (20 HCC with PVTT patients).</w:t>
      </w:r>
    </w:p>
    <w:p>
      <w:pPr>
        <w:autoSpaceDE w:val="0"/>
        <w:autoSpaceDN w:val="0"/>
        <w:adjustRightInd w:val="0"/>
        <w:spacing w:line="360" w:lineRule="auto"/>
        <w:rPr>
          <w:rFonts w:ascii="Times New Roman" w:hAnsi="Times New Roman" w:cs="Times New Roman"/>
          <w:color w:val="auto"/>
          <w:kern w:val="0"/>
          <w:szCs w:val="21"/>
        </w:rPr>
      </w:pPr>
    </w:p>
    <w:p>
      <w:pPr>
        <w:autoSpaceDE w:val="0"/>
        <w:autoSpaceDN w:val="0"/>
        <w:adjustRightInd w:val="0"/>
        <w:spacing w:line="360" w:lineRule="auto"/>
        <w:rPr>
          <w:rFonts w:ascii="Times New Roman" w:hAnsi="Times New Roman" w:cs="Times New Roman"/>
          <w:color w:val="auto"/>
          <w:kern w:val="0"/>
          <w:szCs w:val="21"/>
        </w:rPr>
      </w:pPr>
    </w:p>
    <w:p>
      <w:pPr>
        <w:autoSpaceDE w:val="0"/>
        <w:autoSpaceDN w:val="0"/>
        <w:adjustRightInd w:val="0"/>
        <w:spacing w:line="360" w:lineRule="auto"/>
        <w:rPr>
          <w:rFonts w:ascii="Times New Roman" w:hAnsi="Times New Roman" w:cs="Times New Roman"/>
          <w:color w:val="auto"/>
          <w:kern w:val="0"/>
          <w:szCs w:val="21"/>
        </w:rPr>
      </w:pPr>
    </w:p>
    <w:p>
      <w:pPr>
        <w:autoSpaceDE w:val="0"/>
        <w:autoSpaceDN w:val="0"/>
        <w:adjustRightInd w:val="0"/>
        <w:spacing w:line="360" w:lineRule="auto"/>
        <w:rPr>
          <w:rFonts w:ascii="Times New Roman" w:hAnsi="Times New Roman" w:cs="Times New Roman"/>
          <w:color w:val="auto"/>
          <w:kern w:val="0"/>
          <w:szCs w:val="21"/>
        </w:rPr>
      </w:pPr>
    </w:p>
    <w:p>
      <w:pPr>
        <w:autoSpaceDE w:val="0"/>
        <w:autoSpaceDN w:val="0"/>
        <w:adjustRightInd w:val="0"/>
        <w:spacing w:line="360" w:lineRule="auto"/>
        <w:rPr>
          <w:rFonts w:hint="eastAsia" w:ascii="Times New Roman" w:hAnsi="Times New Roman" w:cs="Times New Roman"/>
          <w:color w:val="auto"/>
          <w:kern w:val="0"/>
          <w:szCs w:val="21"/>
        </w:rPr>
      </w:pPr>
    </w:p>
    <w:p>
      <w:pPr>
        <w:autoSpaceDE w:val="0"/>
        <w:autoSpaceDN w:val="0"/>
        <w:adjustRightInd w:val="0"/>
        <w:spacing w:line="360" w:lineRule="auto"/>
        <w:rPr>
          <w:rFonts w:ascii="Times New Roman" w:hAnsi="Times New Roman" w:cs="Times New Roman"/>
          <w:b/>
          <w:bCs/>
          <w:color w:val="auto"/>
          <w:kern w:val="0"/>
          <w:szCs w:val="21"/>
        </w:rPr>
      </w:pPr>
      <w:r>
        <w:rPr>
          <w:rFonts w:ascii="Times New Roman" w:hAnsi="Times New Roman" w:cs="Times New Roman"/>
          <w:b/>
          <w:bCs/>
          <w:color w:val="auto"/>
          <w:kern w:val="0"/>
          <w:szCs w:val="21"/>
        </w:rPr>
        <w:t>Supplementary Table S2</w:t>
      </w:r>
    </w:p>
    <w:p>
      <w:pPr>
        <w:autoSpaceDE w:val="0"/>
        <w:autoSpaceDN w:val="0"/>
        <w:adjustRightInd w:val="0"/>
        <w:spacing w:line="360" w:lineRule="auto"/>
        <w:rPr>
          <w:rFonts w:ascii="Times New Roman" w:hAnsi="Times New Roman" w:cs="Times New Roman"/>
          <w:color w:val="auto"/>
          <w:kern w:val="0"/>
          <w:szCs w:val="21"/>
        </w:rPr>
      </w:pPr>
      <w:r>
        <w:rPr>
          <w:rFonts w:ascii="Times New Roman" w:hAnsi="Times New Roman" w:cs="Times New Roman"/>
          <w:color w:val="auto"/>
          <w:kern w:val="0"/>
          <w:szCs w:val="21"/>
        </w:rPr>
        <w:t>DEGs between PVTT and non</w:t>
      </w:r>
      <w:r>
        <w:rPr>
          <w:rFonts w:ascii="Times New Roman" w:hAnsi="Times New Roman" w:eastAsia="等线" w:cs="Times New Roman"/>
          <w:color w:val="auto"/>
          <w:kern w:val="0"/>
          <w:szCs w:val="21"/>
        </w:rPr>
        <w:t>-tumorous tissues</w:t>
      </w:r>
      <w:r>
        <w:rPr>
          <w:rFonts w:ascii="Times New Roman" w:hAnsi="Times New Roman" w:cs="Times New Roman"/>
          <w:color w:val="auto"/>
          <w:kern w:val="0"/>
          <w:szCs w:val="21"/>
        </w:rPr>
        <w:t xml:space="preserve"> (P vs</w:t>
      </w:r>
      <w:r>
        <w:rPr>
          <w:rFonts w:ascii="Times New Roman" w:hAnsi="Times New Roman" w:eastAsia="等线" w:cs="Times New Roman"/>
          <w:color w:val="auto"/>
          <w:kern w:val="0"/>
          <w:szCs w:val="21"/>
        </w:rPr>
        <w:t>. N</w:t>
      </w:r>
      <w:r>
        <w:rPr>
          <w:rFonts w:ascii="Times New Roman" w:hAnsi="Times New Roman" w:cs="Times New Roman"/>
          <w:color w:val="auto"/>
          <w:kern w:val="0"/>
          <w:szCs w:val="21"/>
        </w:rPr>
        <w:t>), paired primary tumors and non</w:t>
      </w:r>
      <w:r>
        <w:rPr>
          <w:rFonts w:ascii="Times New Roman" w:hAnsi="Times New Roman" w:eastAsia="等线" w:cs="Times New Roman"/>
          <w:color w:val="auto"/>
          <w:kern w:val="0"/>
          <w:szCs w:val="21"/>
        </w:rPr>
        <w:t>-tumorous tissues</w:t>
      </w:r>
      <w:r>
        <w:rPr>
          <w:rFonts w:ascii="Times New Roman" w:hAnsi="Times New Roman" w:cs="Times New Roman"/>
          <w:color w:val="auto"/>
          <w:kern w:val="0"/>
          <w:szCs w:val="21"/>
        </w:rPr>
        <w:t xml:space="preserve"> (T vs</w:t>
      </w:r>
      <w:r>
        <w:rPr>
          <w:rFonts w:ascii="Times New Roman" w:hAnsi="Times New Roman" w:eastAsia="等线" w:cs="Times New Roman"/>
          <w:color w:val="auto"/>
          <w:kern w:val="0"/>
          <w:szCs w:val="21"/>
        </w:rPr>
        <w:t>. N</w:t>
      </w:r>
      <w:r>
        <w:rPr>
          <w:rFonts w:ascii="Times New Roman" w:hAnsi="Times New Roman" w:cs="Times New Roman"/>
          <w:color w:val="auto"/>
          <w:kern w:val="0"/>
          <w:szCs w:val="21"/>
        </w:rPr>
        <w:t>), and PVTT a</w:t>
      </w:r>
      <w:bookmarkStart w:id="0" w:name="_GoBack"/>
      <w:bookmarkEnd w:id="0"/>
      <w:r>
        <w:rPr>
          <w:rFonts w:ascii="Times New Roman" w:hAnsi="Times New Roman" w:cs="Times New Roman"/>
          <w:color w:val="auto"/>
          <w:kern w:val="0"/>
          <w:szCs w:val="21"/>
        </w:rPr>
        <w:t>nd paired primary tumors (P vs</w:t>
      </w:r>
      <w:r>
        <w:rPr>
          <w:rFonts w:ascii="Times New Roman" w:hAnsi="Times New Roman" w:eastAsia="等线" w:cs="Times New Roman"/>
          <w:color w:val="auto"/>
          <w:kern w:val="0"/>
          <w:szCs w:val="21"/>
        </w:rPr>
        <w:t>. T</w:t>
      </w:r>
      <w:r>
        <w:rPr>
          <w:rFonts w:ascii="Times New Roman" w:hAnsi="Times New Roman" w:cs="Times New Roman"/>
          <w:color w:val="auto"/>
          <w:kern w:val="0"/>
          <w:szCs w:val="21"/>
        </w:rPr>
        <w:t>).</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RmY2JmMjczY2ZiNGM0N2UxZDIzOWUxMzkzY2VkNmQifQ=="/>
  </w:docVars>
  <w:rsids>
    <w:rsidRoot w:val="00796AB0"/>
    <w:rsid w:val="004B773C"/>
    <w:rsid w:val="004C532B"/>
    <w:rsid w:val="005E41CA"/>
    <w:rsid w:val="005F2E02"/>
    <w:rsid w:val="006029F9"/>
    <w:rsid w:val="00616F6B"/>
    <w:rsid w:val="00796AB0"/>
    <w:rsid w:val="00983766"/>
    <w:rsid w:val="00A11C0C"/>
    <w:rsid w:val="00A33271"/>
    <w:rsid w:val="00A70DF7"/>
    <w:rsid w:val="00F0370E"/>
    <w:rsid w:val="00F4369C"/>
    <w:rsid w:val="08E6699A"/>
    <w:rsid w:val="13257202"/>
    <w:rsid w:val="24D26ABE"/>
    <w:rsid w:val="44713013"/>
    <w:rsid w:val="490039A4"/>
    <w:rsid w:val="4AE36AFB"/>
    <w:rsid w:val="596D6216"/>
    <w:rsid w:val="5BBE50CA"/>
    <w:rsid w:val="6E05428D"/>
    <w:rsid w:val="78EC2E1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color w:val="auto"/>
      <w:kern w:val="2"/>
      <w:sz w:val="21"/>
      <w:szCs w:val="22"/>
      <w:lang w:val="en-US" w:eastAsia="zh-CN" w:bidi="ar-SA"/>
    </w:rPr>
  </w:style>
  <w:style w:type="character" w:default="1" w:styleId="5">
    <w:name w:val="Default Paragraph Font"/>
    <w:autoRedefine/>
    <w:semiHidden/>
    <w:unhideWhenUsed/>
    <w:qFormat/>
    <w:uiPriority w:val="1"/>
  </w:style>
  <w:style w:type="table" w:default="1" w:styleId="4">
    <w:name w:val="Normal Table"/>
    <w:autoRedefine/>
    <w:semiHidden/>
    <w:unhideWhenUsed/>
    <w:qFormat/>
    <w:uiPriority w:val="99"/>
    <w:tblPr>
      <w:tblCellMar>
        <w:top w:w="0" w:type="dxa"/>
        <w:left w:w="108" w:type="dxa"/>
        <w:bottom w:w="0" w:type="dxa"/>
        <w:right w:w="108" w:type="dxa"/>
      </w:tblCellMar>
    </w:tblPr>
  </w:style>
  <w:style w:type="paragraph" w:styleId="2">
    <w:name w:val="footer"/>
    <w:basedOn w:val="1"/>
    <w:link w:val="7"/>
    <w:autoRedefine/>
    <w:unhideWhenUsed/>
    <w:qFormat/>
    <w:uiPriority w:val="99"/>
    <w:pPr>
      <w:tabs>
        <w:tab w:val="center" w:pos="4153"/>
        <w:tab w:val="right" w:pos="8306"/>
      </w:tabs>
      <w:snapToGrid w:val="0"/>
      <w:jc w:val="left"/>
    </w:pPr>
    <w:rPr>
      <w:rFonts w:ascii="Times New Roman" w:hAnsi="Times New Roman" w:eastAsia="宋体" w:cs="Times New Roman"/>
      <w:bCs/>
      <w:color w:val="333333"/>
      <w:sz w:val="18"/>
      <w:szCs w:val="18"/>
    </w:rPr>
  </w:style>
  <w:style w:type="paragraph" w:styleId="3">
    <w:name w:val="header"/>
    <w:basedOn w:val="1"/>
    <w:link w:val="6"/>
    <w:autoRedefine/>
    <w:unhideWhenUsed/>
    <w:qFormat/>
    <w:uiPriority w:val="99"/>
    <w:pPr>
      <w:pBdr>
        <w:bottom w:val="single" w:color="auto" w:sz="6" w:space="1"/>
      </w:pBdr>
      <w:tabs>
        <w:tab w:val="center" w:pos="4153"/>
        <w:tab w:val="right" w:pos="8306"/>
      </w:tabs>
      <w:snapToGrid w:val="0"/>
      <w:jc w:val="center"/>
    </w:pPr>
    <w:rPr>
      <w:rFonts w:ascii="Times New Roman" w:hAnsi="Times New Roman" w:eastAsia="宋体" w:cs="Times New Roman"/>
      <w:bCs/>
      <w:color w:val="333333"/>
      <w:sz w:val="18"/>
      <w:szCs w:val="18"/>
    </w:rPr>
  </w:style>
  <w:style w:type="character" w:customStyle="1" w:styleId="6">
    <w:name w:val="页眉 字符"/>
    <w:basedOn w:val="5"/>
    <w:link w:val="3"/>
    <w:autoRedefine/>
    <w:qFormat/>
    <w:uiPriority w:val="99"/>
    <w:rPr>
      <w:sz w:val="18"/>
      <w:szCs w:val="18"/>
    </w:rPr>
  </w:style>
  <w:style w:type="character" w:customStyle="1" w:styleId="7">
    <w:name w:val="页脚 字符"/>
    <w:basedOn w:val="5"/>
    <w:link w:val="2"/>
    <w:autoRedefine/>
    <w:qFormat/>
    <w:uiPriority w:val="99"/>
    <w:rPr>
      <w:sz w:val="18"/>
      <w:szCs w:val="18"/>
    </w:rPr>
  </w:style>
  <w:style w:type="paragraph" w:customStyle="1" w:styleId="8">
    <w:name w:val="Table Paragraph"/>
    <w:basedOn w:val="1"/>
    <w:autoRedefine/>
    <w:qFormat/>
    <w:uiPriority w:val="1"/>
    <w:pPr>
      <w:spacing w:line="256" w:lineRule="exact"/>
      <w:jc w:val="right"/>
    </w:pPr>
    <w:rPr>
      <w:rFonts w:ascii="Times New Roman" w:hAnsi="Times New Roman" w:eastAsia="Times New Roman" w:cs="Times New Roman"/>
      <w:lang w:val="en-US" w:eastAsia="en-US" w:bidi="ar-SA"/>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image" Target="media/image4.tiff"/><Relationship Id="rId6" Type="http://schemas.openxmlformats.org/officeDocument/2006/relationships/image" Target="media/image3.tiff"/><Relationship Id="rId5" Type="http://schemas.openxmlformats.org/officeDocument/2006/relationships/image" Target="media/image2.tiff"/><Relationship Id="rId4" Type="http://schemas.openxmlformats.org/officeDocument/2006/relationships/image" Target="media/image1.tiff"/><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6</Pages>
  <Words>272</Words>
  <Characters>1553</Characters>
  <Lines>12</Lines>
  <Paragraphs>3</Paragraphs>
  <TotalTime>3</TotalTime>
  <ScaleCrop>false</ScaleCrop>
  <LinksUpToDate>false</LinksUpToDate>
  <CharactersWithSpaces>1822</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2023-01-30T03:47:00Z</dcterms:created>
  <dc:creator>feifei</dc:creator>
  <cp:lastModifiedBy>菲晓妮妮</cp:lastModifiedBy>
  <dcterms:modified xsi:type="dcterms:W3CDTF">2024-04-28T12:40:20Z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231D98EEB9254C27945C854E3B4D0894_12</vt:lpwstr>
  </property>
</Properties>
</file>